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8014" w14:textId="11ED4BA7" w:rsidR="008C54A5" w:rsidRDefault="008C54A5" w:rsidP="008C54A5">
      <w:pPr>
        <w:pStyle w:val="Antrat"/>
        <w:ind w:right="1"/>
        <w:rPr>
          <w:sz w:val="24"/>
        </w:rPr>
      </w:pPr>
      <w:r>
        <w:rPr>
          <w:noProof/>
          <w:lang w:val="en-US"/>
        </w:rPr>
        <w:drawing>
          <wp:inline distT="0" distB="0" distL="0" distR="0" wp14:anchorId="60E311CB" wp14:editId="70F213C4">
            <wp:extent cx="4095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1EE3" w14:textId="77777777" w:rsidR="008C54A5" w:rsidRDefault="008C54A5" w:rsidP="008C54A5">
      <w:pPr>
        <w:pStyle w:val="Antrats"/>
        <w:tabs>
          <w:tab w:val="left" w:pos="1296"/>
        </w:tabs>
        <w:ind w:right="1"/>
      </w:pPr>
    </w:p>
    <w:p w14:paraId="4C51B6F8" w14:textId="77777777" w:rsidR="008C54A5" w:rsidRDefault="008C54A5" w:rsidP="008C54A5">
      <w:pPr>
        <w:pStyle w:val="Antrat"/>
        <w:spacing w:line="276" w:lineRule="auto"/>
        <w:ind w:right="1"/>
        <w:rPr>
          <w:sz w:val="24"/>
          <w:szCs w:val="24"/>
        </w:rPr>
      </w:pPr>
      <w:r>
        <w:rPr>
          <w:sz w:val="24"/>
          <w:szCs w:val="24"/>
        </w:rPr>
        <w:t>VALSTYBĖS ĮMONĖS TURTO BANKO</w:t>
      </w:r>
    </w:p>
    <w:p w14:paraId="75E52407" w14:textId="77777777" w:rsidR="008C54A5" w:rsidRDefault="008C54A5" w:rsidP="008C54A5">
      <w:pPr>
        <w:pStyle w:val="Antrat"/>
        <w:spacing w:line="276" w:lineRule="auto"/>
        <w:ind w:right="1"/>
        <w:rPr>
          <w:sz w:val="24"/>
          <w:szCs w:val="24"/>
        </w:rPr>
      </w:pPr>
      <w:r>
        <w:rPr>
          <w:sz w:val="24"/>
          <w:szCs w:val="24"/>
        </w:rPr>
        <w:t>GENERALINIS DIREKTORIUS</w:t>
      </w:r>
    </w:p>
    <w:p w14:paraId="72A41BDF" w14:textId="77777777" w:rsidR="008C54A5" w:rsidRDefault="008C54A5" w:rsidP="008C54A5">
      <w:pPr>
        <w:pStyle w:val="Antrat1"/>
        <w:spacing w:line="276" w:lineRule="auto"/>
        <w:ind w:right="1"/>
        <w:rPr>
          <w:szCs w:val="24"/>
        </w:rPr>
      </w:pPr>
    </w:p>
    <w:p w14:paraId="1CCE399E" w14:textId="77777777" w:rsidR="008C54A5" w:rsidRDefault="008C54A5" w:rsidP="008C54A5">
      <w:pPr>
        <w:pStyle w:val="Antrat1"/>
        <w:spacing w:line="276" w:lineRule="auto"/>
        <w:ind w:right="1"/>
        <w:rPr>
          <w:szCs w:val="24"/>
        </w:rPr>
      </w:pPr>
      <w:r>
        <w:rPr>
          <w:szCs w:val="24"/>
        </w:rPr>
        <w:t>ĮSAKYMAS</w:t>
      </w:r>
    </w:p>
    <w:p w14:paraId="2E8522C3" w14:textId="08BF6B9D" w:rsidR="008C54A5" w:rsidRDefault="008C54A5" w:rsidP="008C54A5">
      <w:pPr>
        <w:pStyle w:val="Antrat1"/>
        <w:spacing w:line="276" w:lineRule="auto"/>
        <w:ind w:right="1"/>
        <w:rPr>
          <w:szCs w:val="24"/>
        </w:rPr>
      </w:pPr>
      <w:r>
        <w:t xml:space="preserve">DĖL VALSTYBĖS NEKILNOJAMOJO TURTO </w:t>
      </w:r>
      <w:r w:rsidR="00897CA9">
        <w:t xml:space="preserve">(LAIKINO STATINIO) </w:t>
      </w:r>
      <w:r>
        <w:t xml:space="preserve">PERDAVIMO PATIKĖJIMO TEISE </w:t>
      </w:r>
    </w:p>
    <w:p w14:paraId="44936DCE" w14:textId="77777777" w:rsidR="008C54A5" w:rsidRDefault="008C54A5" w:rsidP="008C54A5">
      <w:pPr>
        <w:spacing w:line="276" w:lineRule="auto"/>
        <w:ind w:right="-1"/>
        <w:jc w:val="center"/>
        <w:rPr>
          <w:szCs w:val="24"/>
        </w:rPr>
      </w:pPr>
    </w:p>
    <w:p w14:paraId="66E83EF1" w14:textId="6D26FEB8" w:rsidR="008C54A5" w:rsidRDefault="008C54A5" w:rsidP="008C54A5">
      <w:pPr>
        <w:spacing w:line="276" w:lineRule="auto"/>
        <w:ind w:right="-1"/>
        <w:jc w:val="center"/>
        <w:rPr>
          <w:szCs w:val="24"/>
        </w:rPr>
      </w:pPr>
      <w:r>
        <w:rPr>
          <w:szCs w:val="24"/>
        </w:rPr>
        <w:t>202</w:t>
      </w:r>
      <w:r w:rsidR="005B1139">
        <w:rPr>
          <w:szCs w:val="24"/>
        </w:rPr>
        <w:t>2</w:t>
      </w:r>
      <w:r>
        <w:rPr>
          <w:szCs w:val="24"/>
        </w:rPr>
        <w:t xml:space="preserve"> m. </w:t>
      </w:r>
      <w:r w:rsidR="00E478B4">
        <w:rPr>
          <w:szCs w:val="24"/>
        </w:rPr>
        <w:t>balandžio</w:t>
      </w:r>
      <w:r w:rsidR="00146B91">
        <w:rPr>
          <w:szCs w:val="24"/>
        </w:rPr>
        <w:t xml:space="preserve"> 22 </w:t>
      </w:r>
      <w:r>
        <w:rPr>
          <w:szCs w:val="24"/>
        </w:rPr>
        <w:t xml:space="preserve">d. Nr. </w:t>
      </w:r>
      <w:r w:rsidR="00146B91">
        <w:rPr>
          <w:szCs w:val="24"/>
        </w:rPr>
        <w:t>P13-19</w:t>
      </w:r>
      <w:r>
        <w:rPr>
          <w:szCs w:val="24"/>
        </w:rPr>
        <w:t xml:space="preserve"> </w:t>
      </w:r>
    </w:p>
    <w:p w14:paraId="76C38BD9" w14:textId="77777777" w:rsidR="008C54A5" w:rsidRDefault="008C54A5" w:rsidP="008C54A5">
      <w:pPr>
        <w:spacing w:line="276" w:lineRule="auto"/>
        <w:ind w:right="-1"/>
        <w:jc w:val="center"/>
        <w:rPr>
          <w:szCs w:val="24"/>
        </w:rPr>
      </w:pPr>
      <w:r>
        <w:rPr>
          <w:szCs w:val="24"/>
        </w:rPr>
        <w:t>Vilnius</w:t>
      </w:r>
    </w:p>
    <w:p w14:paraId="46D8FE0A" w14:textId="77777777" w:rsidR="008C54A5" w:rsidRDefault="008C54A5" w:rsidP="008C54A5">
      <w:pPr>
        <w:jc w:val="center"/>
        <w:rPr>
          <w:sz w:val="10"/>
          <w:szCs w:val="10"/>
        </w:rPr>
      </w:pPr>
    </w:p>
    <w:p w14:paraId="0D96A95E" w14:textId="77777777" w:rsidR="008C54A5" w:rsidRDefault="008C54A5" w:rsidP="008C54A5">
      <w:pPr>
        <w:jc w:val="center"/>
        <w:rPr>
          <w:sz w:val="10"/>
          <w:szCs w:val="10"/>
        </w:rPr>
      </w:pPr>
    </w:p>
    <w:p w14:paraId="67EC258E" w14:textId="77777777" w:rsidR="008C54A5" w:rsidRDefault="008C54A5" w:rsidP="008C54A5">
      <w:pPr>
        <w:jc w:val="center"/>
        <w:rPr>
          <w:sz w:val="10"/>
          <w:szCs w:val="10"/>
        </w:rPr>
      </w:pPr>
    </w:p>
    <w:p w14:paraId="6969B171" w14:textId="370E24F0" w:rsidR="008C54A5" w:rsidRDefault="008C54A5" w:rsidP="00EC290B">
      <w:pPr>
        <w:spacing w:line="276" w:lineRule="auto"/>
        <w:ind w:firstLine="426"/>
        <w:jc w:val="both"/>
        <w:rPr>
          <w:lang w:eastAsia="lt-LT"/>
        </w:rPr>
      </w:pPr>
      <w:r>
        <w:rPr>
          <w:lang w:eastAsia="lt-LT"/>
        </w:rPr>
        <w:t xml:space="preserve">Vadovaudamasis Lietuvos Respublikos valstybės ir savivaldybių turto valdymo, naudojimo ir disponavimo juo įstatymo 10 straipsniu ir įgyvendindamas </w:t>
      </w:r>
      <w:r w:rsidR="00811582" w:rsidRPr="00811582">
        <w:rPr>
          <w:lang w:eastAsia="lt-LT"/>
        </w:rPr>
        <w:t>Valstybės turto perdavimo patikėjimo teise ir savivaldybių nuosavybėn tvarkos aprašą</w:t>
      </w:r>
      <w:r>
        <w:rPr>
          <w:lang w:eastAsia="lt-LT"/>
        </w:rPr>
        <w:t>, patvirtintą Lietuvos Respublikos Vyriausybės 2001 m. sausio 5 d. nutarimu Nr. 16 „Dėl valstybės turto perdavimo patikėjimo teise ir savivaldybių nuosavybėn“,</w:t>
      </w:r>
    </w:p>
    <w:p w14:paraId="53112C71" w14:textId="311D83CA" w:rsidR="0072536A" w:rsidRDefault="008C54A5" w:rsidP="003E0666">
      <w:pPr>
        <w:spacing w:line="276" w:lineRule="auto"/>
        <w:ind w:firstLine="426"/>
        <w:jc w:val="both"/>
        <w:rPr>
          <w:lang w:eastAsia="lt-LT"/>
        </w:rPr>
      </w:pPr>
      <w:r>
        <w:rPr>
          <w:lang w:eastAsia="lt-LT"/>
        </w:rPr>
        <w:t xml:space="preserve">p e r d u o d u  </w:t>
      </w:r>
      <w:r w:rsidR="001F6033" w:rsidRPr="001F6033">
        <w:rPr>
          <w:rFonts w:eastAsia="SimSun" w:cs="Mangal"/>
          <w:kern w:val="3"/>
          <w:szCs w:val="24"/>
          <w:lang w:eastAsia="lt-LT" w:bidi="hi-IN"/>
        </w:rPr>
        <w:t xml:space="preserve">Rambyno regioninio parko </w:t>
      </w:r>
      <w:r w:rsidR="001F6033">
        <w:rPr>
          <w:rFonts w:eastAsia="SimSun" w:cs="Mangal"/>
          <w:kern w:val="3"/>
          <w:szCs w:val="24"/>
          <w:lang w:eastAsia="lt-LT" w:bidi="hi-IN"/>
        </w:rPr>
        <w:t xml:space="preserve">direkcijai </w:t>
      </w:r>
      <w:r>
        <w:rPr>
          <w:rFonts w:eastAsia="SimSun" w:cs="Mangal"/>
          <w:kern w:val="3"/>
          <w:szCs w:val="24"/>
          <w:lang w:eastAsia="lt-LT" w:bidi="hi-IN"/>
        </w:rPr>
        <w:t xml:space="preserve">valdyti, naudoti ir disponuoti juo patikėjimo teise jo nuostatuose numatytai veiklai vykdyti valstybei nuosavybės teise priklausantį ir šiuo metu </w:t>
      </w:r>
      <w:r>
        <w:rPr>
          <w:lang w:eastAsia="lt-LT"/>
        </w:rPr>
        <w:t xml:space="preserve">Valstybinės saugomų teritorijų tarnybos prie Aplinkos ministerijos </w:t>
      </w:r>
      <w:r>
        <w:rPr>
          <w:rFonts w:eastAsia="SimSun" w:cs="Mangal"/>
          <w:kern w:val="3"/>
          <w:szCs w:val="24"/>
          <w:lang w:eastAsia="lt-LT" w:bidi="hi-IN"/>
        </w:rPr>
        <w:t xml:space="preserve">patikėjimo teise valdomą </w:t>
      </w:r>
      <w:r w:rsidR="00EC290B">
        <w:rPr>
          <w:rFonts w:eastAsia="SimSun" w:cs="Mangal"/>
          <w:kern w:val="3"/>
          <w:szCs w:val="24"/>
          <w:lang w:eastAsia="lt-LT" w:bidi="hi-IN"/>
        </w:rPr>
        <w:t xml:space="preserve">valstybės </w:t>
      </w:r>
      <w:r>
        <w:rPr>
          <w:rFonts w:eastAsia="SimSun" w:cs="Mangal"/>
          <w:kern w:val="3"/>
          <w:szCs w:val="24"/>
          <w:lang w:eastAsia="lt-LT" w:bidi="hi-IN"/>
        </w:rPr>
        <w:t>nekilnojamąjį turtą</w:t>
      </w:r>
      <w:r w:rsidR="003E066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E95775">
        <w:rPr>
          <w:lang w:eastAsia="lt-LT"/>
        </w:rPr>
        <w:t xml:space="preserve">laikiną statinį – </w:t>
      </w:r>
      <w:r w:rsidR="00E95775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7621A6">
        <w:rPr>
          <w:rFonts w:eastAsia="SimSun" w:cs="Mangal"/>
          <w:kern w:val="3"/>
          <w:szCs w:val="24"/>
          <w:lang w:eastAsia="lt-LT" w:bidi="hi-IN"/>
        </w:rPr>
        <w:t>l</w:t>
      </w:r>
      <w:r w:rsidR="003E0666" w:rsidRPr="001F6033">
        <w:rPr>
          <w:lang w:eastAsia="lt-LT"/>
        </w:rPr>
        <w:t>auko tualetų ir šiukšlių konteinerių aptvėrimo</w:t>
      </w:r>
      <w:r w:rsidR="003E0666">
        <w:rPr>
          <w:lang w:eastAsia="lt-LT"/>
        </w:rPr>
        <w:t xml:space="preserve"> sien</w:t>
      </w:r>
      <w:r w:rsidR="00CE0125">
        <w:rPr>
          <w:lang w:eastAsia="lt-LT"/>
        </w:rPr>
        <w:t>el</w:t>
      </w:r>
      <w:r w:rsidR="00E95775">
        <w:rPr>
          <w:lang w:eastAsia="lt-LT"/>
        </w:rPr>
        <w:t>ę</w:t>
      </w:r>
      <w:r w:rsidR="003E0666" w:rsidRPr="001F6033">
        <w:rPr>
          <w:lang w:eastAsia="lt-LT"/>
        </w:rPr>
        <w:t xml:space="preserve"> (</w:t>
      </w:r>
      <w:r w:rsidR="00A75FE0">
        <w:rPr>
          <w:szCs w:val="24"/>
        </w:rPr>
        <w:t xml:space="preserve">dviejų dalių </w:t>
      </w:r>
      <w:r w:rsidR="00F27E38">
        <w:rPr>
          <w:szCs w:val="24"/>
        </w:rPr>
        <w:t>komplektas</w:t>
      </w:r>
      <w:r w:rsidR="00A75FE0" w:rsidRPr="004321E4">
        <w:rPr>
          <w:szCs w:val="24"/>
        </w:rPr>
        <w:t>)</w:t>
      </w:r>
      <w:r w:rsidR="003E0666">
        <w:rPr>
          <w:lang w:eastAsia="lt-LT"/>
        </w:rPr>
        <w:t xml:space="preserve">, </w:t>
      </w:r>
      <w:r w:rsidR="003E0666" w:rsidRPr="001F6033">
        <w:rPr>
          <w:lang w:eastAsia="lt-LT"/>
        </w:rPr>
        <w:t xml:space="preserve">inventorinis </w:t>
      </w:r>
      <w:r w:rsidR="003E0666">
        <w:rPr>
          <w:lang w:eastAsia="lt-LT"/>
        </w:rPr>
        <w:t xml:space="preserve">numeris </w:t>
      </w:r>
      <w:r w:rsidR="003E0666" w:rsidRPr="001F6033">
        <w:rPr>
          <w:lang w:eastAsia="lt-LT"/>
        </w:rPr>
        <w:t xml:space="preserve">1203200046, </w:t>
      </w:r>
      <w:r w:rsidR="003E0666">
        <w:rPr>
          <w:rFonts w:eastAsia="SimSun" w:cs="Mangal"/>
          <w:kern w:val="3"/>
          <w:szCs w:val="24"/>
          <w:lang w:eastAsia="lt-LT" w:bidi="hi-IN"/>
        </w:rPr>
        <w:t>bendra likutinė vertė 2022 m. kovo 29 d. – 12</w:t>
      </w:r>
      <w:r w:rsidR="00AB3068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3E0666">
        <w:rPr>
          <w:rFonts w:eastAsia="SimSun" w:cs="Mangal"/>
          <w:kern w:val="3"/>
          <w:szCs w:val="24"/>
          <w:lang w:eastAsia="lt-LT" w:bidi="hi-IN"/>
        </w:rPr>
        <w:t xml:space="preserve">667,13 Eur (dvylika tūkstančių šeši šimtai </w:t>
      </w:r>
      <w:r w:rsidR="00880BE5">
        <w:rPr>
          <w:rFonts w:eastAsia="SimSun" w:cs="Mangal"/>
          <w:kern w:val="3"/>
          <w:szCs w:val="24"/>
          <w:lang w:eastAsia="lt-LT" w:bidi="hi-IN"/>
        </w:rPr>
        <w:t xml:space="preserve">šešiasdešimt </w:t>
      </w:r>
      <w:r w:rsidR="003E0666">
        <w:rPr>
          <w:rFonts w:eastAsia="SimSun" w:cs="Mangal"/>
          <w:kern w:val="3"/>
          <w:szCs w:val="24"/>
          <w:lang w:eastAsia="lt-LT" w:bidi="hi-IN"/>
        </w:rPr>
        <w:t>septyni Eur 13 ct)</w:t>
      </w:r>
      <w:r w:rsidR="00880BE5">
        <w:rPr>
          <w:rFonts w:eastAsia="SimSun" w:cs="Mangal"/>
          <w:kern w:val="3"/>
          <w:szCs w:val="24"/>
          <w:lang w:eastAsia="lt-LT" w:bidi="hi-IN"/>
        </w:rPr>
        <w:t>,</w:t>
      </w:r>
      <w:r w:rsidR="003E0666">
        <w:rPr>
          <w:rFonts w:eastAsia="SimSun" w:cs="Mangal"/>
          <w:kern w:val="3"/>
          <w:szCs w:val="24"/>
          <w:lang w:eastAsia="lt-LT" w:bidi="hi-IN"/>
        </w:rPr>
        <w:t xml:space="preserve"> </w:t>
      </w:r>
      <w:r w:rsidR="003E0666" w:rsidRPr="001F6033">
        <w:rPr>
          <w:lang w:eastAsia="lt-LT"/>
        </w:rPr>
        <w:t>esan</w:t>
      </w:r>
      <w:r w:rsidR="00AB3068">
        <w:rPr>
          <w:lang w:eastAsia="lt-LT"/>
        </w:rPr>
        <w:t>tį</w:t>
      </w:r>
      <w:r w:rsidR="003E0666" w:rsidRPr="001F6033">
        <w:rPr>
          <w:lang w:eastAsia="lt-LT"/>
        </w:rPr>
        <w:t xml:space="preserve"> Bitėnų k., Lumpėnų sen., Pagėgių sav</w:t>
      </w:r>
      <w:r w:rsidR="003E0666">
        <w:rPr>
          <w:lang w:eastAsia="lt-LT"/>
        </w:rPr>
        <w:t>.</w:t>
      </w:r>
    </w:p>
    <w:p w14:paraId="32C519CF" w14:textId="77777777" w:rsidR="003E0666" w:rsidRPr="003E0666" w:rsidRDefault="003E0666" w:rsidP="009F5655">
      <w:pPr>
        <w:spacing w:line="276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245BB5B3" w14:textId="2117259A" w:rsidR="008C54A5" w:rsidRPr="00B070D8" w:rsidRDefault="008C54A5" w:rsidP="00B070D8">
      <w:pPr>
        <w:spacing w:line="276" w:lineRule="auto"/>
        <w:jc w:val="both"/>
        <w:rPr>
          <w:rFonts w:eastAsia="SimSun" w:cs="Mangal"/>
          <w:kern w:val="3"/>
          <w:szCs w:val="24"/>
          <w:lang w:eastAsia="lt-LT" w:bidi="hi-IN"/>
        </w:rPr>
      </w:pPr>
    </w:p>
    <w:p w14:paraId="5DAA6E03" w14:textId="0DE21722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  <w:r w:rsidRPr="00AB3068">
        <w:rPr>
          <w:szCs w:val="24"/>
        </w:rPr>
        <w:t>Generalinis direktorius                                                                                  Mindaugas Sinkevičius</w:t>
      </w:r>
    </w:p>
    <w:p w14:paraId="6E4B55A9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5B2215CD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45AB3868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549FCCF0" w14:textId="6372AB5D" w:rsid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4124E780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11860741" w14:textId="29A1FADD" w:rsid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4621C57B" w14:textId="18A1C751" w:rsid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4A763B15" w14:textId="65BD8CD8" w:rsid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33D136B3" w14:textId="7C2C5102" w:rsidR="009F5655" w:rsidRDefault="009F5655" w:rsidP="00AB3068">
      <w:pPr>
        <w:widowControl w:val="0"/>
        <w:shd w:val="clear" w:color="auto" w:fill="FFFFFF"/>
        <w:jc w:val="both"/>
        <w:rPr>
          <w:szCs w:val="24"/>
        </w:rPr>
      </w:pPr>
    </w:p>
    <w:p w14:paraId="4B2CADB7" w14:textId="0C112637" w:rsidR="009F5655" w:rsidRDefault="009F5655" w:rsidP="00AB3068">
      <w:pPr>
        <w:widowControl w:val="0"/>
        <w:shd w:val="clear" w:color="auto" w:fill="FFFFFF"/>
        <w:jc w:val="both"/>
        <w:rPr>
          <w:szCs w:val="24"/>
        </w:rPr>
      </w:pPr>
    </w:p>
    <w:p w14:paraId="08F3D291" w14:textId="0CE1BC33" w:rsidR="009F5655" w:rsidRDefault="009F5655" w:rsidP="00AB3068">
      <w:pPr>
        <w:widowControl w:val="0"/>
        <w:shd w:val="clear" w:color="auto" w:fill="FFFFFF"/>
        <w:jc w:val="both"/>
        <w:rPr>
          <w:szCs w:val="24"/>
        </w:rPr>
      </w:pPr>
    </w:p>
    <w:p w14:paraId="4AFDBADB" w14:textId="02F64498" w:rsidR="009F5655" w:rsidRDefault="009F5655" w:rsidP="00AB3068">
      <w:pPr>
        <w:widowControl w:val="0"/>
        <w:shd w:val="clear" w:color="auto" w:fill="FFFFFF"/>
        <w:jc w:val="both"/>
        <w:rPr>
          <w:szCs w:val="24"/>
        </w:rPr>
      </w:pPr>
    </w:p>
    <w:p w14:paraId="27B8E9A1" w14:textId="77777777" w:rsidR="009F5655" w:rsidRDefault="009F5655" w:rsidP="00AB3068">
      <w:pPr>
        <w:widowControl w:val="0"/>
        <w:shd w:val="clear" w:color="auto" w:fill="FFFFFF"/>
        <w:jc w:val="both"/>
        <w:rPr>
          <w:szCs w:val="24"/>
        </w:rPr>
      </w:pPr>
    </w:p>
    <w:p w14:paraId="17EC0395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5DD109F3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</w:p>
    <w:p w14:paraId="3777981A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  <w:r w:rsidRPr="00AB3068">
        <w:rPr>
          <w:szCs w:val="24"/>
        </w:rPr>
        <w:t>Parengė</w:t>
      </w:r>
    </w:p>
    <w:p w14:paraId="0212FBB6" w14:textId="77777777" w:rsidR="00AB3068" w:rsidRPr="00AB3068" w:rsidRDefault="00AB3068" w:rsidP="00AB3068">
      <w:pPr>
        <w:widowControl w:val="0"/>
        <w:shd w:val="clear" w:color="auto" w:fill="FFFFFF"/>
        <w:jc w:val="both"/>
        <w:rPr>
          <w:szCs w:val="24"/>
        </w:rPr>
      </w:pPr>
      <w:r w:rsidRPr="00AB3068">
        <w:rPr>
          <w:szCs w:val="24"/>
        </w:rPr>
        <w:t>Rita Mažeikienė</w:t>
      </w:r>
    </w:p>
    <w:p w14:paraId="31040344" w14:textId="06843E3B" w:rsidR="00923A84" w:rsidRDefault="00AB3068" w:rsidP="008C54A5">
      <w:pPr>
        <w:widowControl w:val="0"/>
        <w:shd w:val="clear" w:color="auto" w:fill="FFFFFF"/>
        <w:jc w:val="both"/>
        <w:rPr>
          <w:color w:val="000000"/>
          <w:spacing w:val="-4"/>
          <w:szCs w:val="24"/>
        </w:rPr>
      </w:pPr>
      <w:r w:rsidRPr="00AB3068">
        <w:rPr>
          <w:szCs w:val="24"/>
        </w:rPr>
        <w:t>2022-04-</w:t>
      </w:r>
      <w:r>
        <w:rPr>
          <w:szCs w:val="24"/>
        </w:rPr>
        <w:t>20</w:t>
      </w:r>
    </w:p>
    <w:sectPr w:rsidR="00923A8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241F" w14:textId="77777777" w:rsidR="007F007B" w:rsidRDefault="007F007B" w:rsidP="000E3DBC">
      <w:r>
        <w:separator/>
      </w:r>
    </w:p>
  </w:endnote>
  <w:endnote w:type="continuationSeparator" w:id="0">
    <w:p w14:paraId="596288F9" w14:textId="77777777" w:rsidR="007F007B" w:rsidRDefault="007F007B" w:rsidP="000E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5E0E" w14:textId="77777777" w:rsidR="007F007B" w:rsidRDefault="007F007B" w:rsidP="000E3DBC">
      <w:r>
        <w:separator/>
      </w:r>
    </w:p>
  </w:footnote>
  <w:footnote w:type="continuationSeparator" w:id="0">
    <w:p w14:paraId="2D1495A7" w14:textId="77777777" w:rsidR="007F007B" w:rsidRDefault="007F007B" w:rsidP="000E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498"/>
    <w:multiLevelType w:val="hybridMultilevel"/>
    <w:tmpl w:val="CA72F44A"/>
    <w:lvl w:ilvl="0" w:tplc="FEAC9AC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5B3C7E"/>
    <w:multiLevelType w:val="hybridMultilevel"/>
    <w:tmpl w:val="821E38B2"/>
    <w:lvl w:ilvl="0" w:tplc="FEAC9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88372089">
    <w:abstractNumId w:val="1"/>
  </w:num>
  <w:num w:numId="2" w16cid:durableId="1903829623">
    <w:abstractNumId w:val="1"/>
  </w:num>
  <w:num w:numId="3" w16cid:durableId="174266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577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A5"/>
    <w:rsid w:val="000024B3"/>
    <w:rsid w:val="00004788"/>
    <w:rsid w:val="00015E2E"/>
    <w:rsid w:val="00017894"/>
    <w:rsid w:val="0009325E"/>
    <w:rsid w:val="000C73E9"/>
    <w:rsid w:val="000E3DBC"/>
    <w:rsid w:val="000F38D3"/>
    <w:rsid w:val="000F54BB"/>
    <w:rsid w:val="00146B91"/>
    <w:rsid w:val="001674E2"/>
    <w:rsid w:val="001953B5"/>
    <w:rsid w:val="001D63F4"/>
    <w:rsid w:val="001F6033"/>
    <w:rsid w:val="00207A7E"/>
    <w:rsid w:val="0026235B"/>
    <w:rsid w:val="002E6C63"/>
    <w:rsid w:val="003128C4"/>
    <w:rsid w:val="003C4FFD"/>
    <w:rsid w:val="003E0666"/>
    <w:rsid w:val="00413085"/>
    <w:rsid w:val="00417358"/>
    <w:rsid w:val="004619CA"/>
    <w:rsid w:val="004E0D1B"/>
    <w:rsid w:val="00541D2F"/>
    <w:rsid w:val="00565EA9"/>
    <w:rsid w:val="00582233"/>
    <w:rsid w:val="005964F2"/>
    <w:rsid w:val="005B1139"/>
    <w:rsid w:val="0072536A"/>
    <w:rsid w:val="007621A6"/>
    <w:rsid w:val="007636F7"/>
    <w:rsid w:val="007F007B"/>
    <w:rsid w:val="00807495"/>
    <w:rsid w:val="00811582"/>
    <w:rsid w:val="00851D52"/>
    <w:rsid w:val="008569CF"/>
    <w:rsid w:val="00880BE5"/>
    <w:rsid w:val="00897CA9"/>
    <w:rsid w:val="008C54A5"/>
    <w:rsid w:val="00920EF6"/>
    <w:rsid w:val="00923A84"/>
    <w:rsid w:val="00947F30"/>
    <w:rsid w:val="009A2B87"/>
    <w:rsid w:val="009F5655"/>
    <w:rsid w:val="00A75FE0"/>
    <w:rsid w:val="00A94C3F"/>
    <w:rsid w:val="00AB3068"/>
    <w:rsid w:val="00AC0ED7"/>
    <w:rsid w:val="00B070D8"/>
    <w:rsid w:val="00B569F1"/>
    <w:rsid w:val="00B630B1"/>
    <w:rsid w:val="00C633C0"/>
    <w:rsid w:val="00CE0125"/>
    <w:rsid w:val="00D65CCB"/>
    <w:rsid w:val="00E478B4"/>
    <w:rsid w:val="00E803E6"/>
    <w:rsid w:val="00E95775"/>
    <w:rsid w:val="00EC290B"/>
    <w:rsid w:val="00F27E38"/>
    <w:rsid w:val="00F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DC016"/>
  <w15:chartTrackingRefBased/>
  <w15:docId w15:val="{B83158D7-2A31-4E18-BAEE-1727862B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54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8C54A5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C54A5"/>
    <w:rPr>
      <w:rFonts w:ascii="Times New Roman" w:eastAsia="Times New Roman" w:hAnsi="Times New Roman" w:cs="Times New Roman"/>
      <w:b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C54A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54A5"/>
    <w:rPr>
      <w:rFonts w:ascii="Times New Roman" w:eastAsia="Times New Roman" w:hAnsi="Times New Roman" w:cs="Times New Roman"/>
      <w:sz w:val="24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8C54A5"/>
    <w:pPr>
      <w:jc w:val="center"/>
    </w:pPr>
    <w:rPr>
      <w:b/>
      <w:sz w:val="28"/>
    </w:rPr>
  </w:style>
  <w:style w:type="paragraph" w:styleId="Sraopastraipa">
    <w:name w:val="List Paragraph"/>
    <w:basedOn w:val="prastasis"/>
    <w:uiPriority w:val="34"/>
    <w:qFormat/>
    <w:rsid w:val="008C54A5"/>
    <w:pPr>
      <w:ind w:left="720"/>
      <w:contextualSpacing/>
    </w:pPr>
  </w:style>
  <w:style w:type="paragraph" w:styleId="Pataisymai">
    <w:name w:val="Revision"/>
    <w:hidden/>
    <w:uiPriority w:val="99"/>
    <w:semiHidden/>
    <w:rsid w:val="007636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0E3DBC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3DB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Rynkevič</dc:creator>
  <cp:keywords/>
  <dc:description/>
  <cp:lastModifiedBy>JACYTĖ, Viktė | Turto bankas</cp:lastModifiedBy>
  <cp:revision>7</cp:revision>
  <dcterms:created xsi:type="dcterms:W3CDTF">2022-04-20T10:58:00Z</dcterms:created>
  <dcterms:modified xsi:type="dcterms:W3CDTF">2022-04-22T16:04:00Z</dcterms:modified>
</cp:coreProperties>
</file>