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E454109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75685A">
        <w:rPr>
          <w:szCs w:val="24"/>
        </w:rPr>
        <w:t>spalio</w:t>
      </w:r>
      <w:r w:rsidR="00702D59">
        <w:rPr>
          <w:szCs w:val="24"/>
        </w:rPr>
        <w:t xml:space="preserve"> </w:t>
      </w:r>
      <w:r w:rsidR="00D01DD2">
        <w:rPr>
          <w:szCs w:val="24"/>
        </w:rPr>
        <w:t>25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6B4C0B">
        <w:rPr>
          <w:szCs w:val="24"/>
        </w:rPr>
        <w:t>46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FA33060" w14:textId="281DEF6E" w:rsidR="00CF0994" w:rsidRDefault="00FB5777" w:rsidP="0075685A">
      <w:pPr>
        <w:pStyle w:val="Sraopastraipa"/>
        <w:ind w:left="0" w:firstLine="851"/>
        <w:jc w:val="both"/>
        <w:rPr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CF0994">
        <w:rPr>
          <w:bCs/>
          <w:szCs w:val="24"/>
        </w:rPr>
        <w:t>Valstybės sienos apsaugos tarnybai prie Lietuvos Respublikos vidaus reikalų ministerijos</w:t>
      </w:r>
      <w:r w:rsidR="00CF0994" w:rsidRPr="00CC579C">
        <w:rPr>
          <w:bCs/>
          <w:noProof/>
          <w:szCs w:val="24"/>
        </w:rPr>
        <w:t xml:space="preserve"> 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CF0994">
        <w:rPr>
          <w:bCs/>
          <w:noProof/>
          <w:szCs w:val="24"/>
        </w:rPr>
        <w:t>Pasienio kontrolės punktų direkcijos prie Susisiekimo ministerijos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 patikėjimo teise valdomą nekilnojamąjį turtą</w:t>
      </w:r>
      <w:r w:rsidR="00CF0994">
        <w:rPr>
          <w:rFonts w:eastAsia="SimSun" w:cs="Mangal"/>
          <w:kern w:val="3"/>
          <w:szCs w:val="24"/>
          <w:lang w:eastAsia="lt-LT" w:bidi="hi-IN"/>
        </w:rPr>
        <w:t xml:space="preserve">: </w:t>
      </w:r>
      <w:r w:rsidR="00CF0994">
        <w:rPr>
          <w:szCs w:val="24"/>
        </w:rPr>
        <w:t xml:space="preserve">pastatą - sargybinę, kurio unikalus numeris - </w:t>
      </w:r>
      <w:r w:rsidR="00CF0994" w:rsidRPr="008B4191">
        <w:rPr>
          <w:szCs w:val="24"/>
        </w:rPr>
        <w:t>5199-6003-0180</w:t>
      </w:r>
      <w:r w:rsidR="00CF0994">
        <w:rPr>
          <w:szCs w:val="24"/>
        </w:rPr>
        <w:t xml:space="preserve">, bendras pastato plotas </w:t>
      </w:r>
      <w:r w:rsidR="00CF0994" w:rsidRPr="008B4191">
        <w:rPr>
          <w:szCs w:val="24"/>
        </w:rPr>
        <w:t>6</w:t>
      </w:r>
      <w:r w:rsidR="00CF0994">
        <w:rPr>
          <w:szCs w:val="24"/>
        </w:rPr>
        <w:t>32</w:t>
      </w:r>
      <w:r w:rsidR="00CF0994" w:rsidRPr="008B4191">
        <w:rPr>
          <w:szCs w:val="24"/>
        </w:rPr>
        <w:t>,33</w:t>
      </w:r>
      <w:r w:rsidR="00CF0994">
        <w:rPr>
          <w:szCs w:val="24"/>
        </w:rPr>
        <w:t xml:space="preserve"> kv. m, perduodamo turto likutinė vertė 2023 m. spalio 1 d. – 100667,99 Eur (šimtas tūkstančių šeši šimtai šešiasdešimt septyni eurai ir devyniasdešimt devyni centai), esantį </w:t>
      </w:r>
      <w:r w:rsidR="00CF0994" w:rsidRPr="008B4191">
        <w:rPr>
          <w:szCs w:val="24"/>
        </w:rPr>
        <w:t>Europos</w:t>
      </w:r>
      <w:r w:rsidR="00CF0994">
        <w:rPr>
          <w:szCs w:val="24"/>
        </w:rPr>
        <w:t xml:space="preserve"> </w:t>
      </w:r>
      <w:r w:rsidR="00CF0994" w:rsidRPr="008B4191">
        <w:rPr>
          <w:szCs w:val="24"/>
        </w:rPr>
        <w:t>g.</w:t>
      </w:r>
      <w:r w:rsidR="00CF0994">
        <w:rPr>
          <w:szCs w:val="24"/>
        </w:rPr>
        <w:t xml:space="preserve"> </w:t>
      </w:r>
      <w:r w:rsidR="00CF0994" w:rsidRPr="008B4191">
        <w:rPr>
          <w:szCs w:val="24"/>
        </w:rPr>
        <w:t>21</w:t>
      </w:r>
      <w:r w:rsidR="00CF0994">
        <w:rPr>
          <w:szCs w:val="24"/>
        </w:rPr>
        <w:t xml:space="preserve">, </w:t>
      </w:r>
      <w:proofErr w:type="spellStart"/>
      <w:r w:rsidR="00CF0994" w:rsidRPr="008B4191">
        <w:rPr>
          <w:szCs w:val="24"/>
        </w:rPr>
        <w:t>Salaperaugio</w:t>
      </w:r>
      <w:proofErr w:type="spellEnd"/>
      <w:r w:rsidR="00CF0994">
        <w:rPr>
          <w:szCs w:val="24"/>
        </w:rPr>
        <w:t xml:space="preserve"> </w:t>
      </w:r>
      <w:r w:rsidR="00CF0994" w:rsidRPr="008B4191">
        <w:rPr>
          <w:szCs w:val="24"/>
        </w:rPr>
        <w:t>k</w:t>
      </w:r>
      <w:r w:rsidR="00CF0994">
        <w:rPr>
          <w:szCs w:val="24"/>
        </w:rPr>
        <w:t xml:space="preserve">aime, </w:t>
      </w:r>
      <w:proofErr w:type="spellStart"/>
      <w:r w:rsidR="00CF0994">
        <w:rPr>
          <w:szCs w:val="24"/>
        </w:rPr>
        <w:t>Liubavo</w:t>
      </w:r>
      <w:proofErr w:type="spellEnd"/>
      <w:r w:rsidR="00CF0994">
        <w:rPr>
          <w:szCs w:val="24"/>
        </w:rPr>
        <w:t xml:space="preserve"> seniūnijoje, </w:t>
      </w:r>
      <w:r w:rsidR="00CF0994" w:rsidRPr="008B4191">
        <w:rPr>
          <w:szCs w:val="24"/>
        </w:rPr>
        <w:t xml:space="preserve"> Kalvarijos</w:t>
      </w:r>
      <w:r w:rsidR="00CF0994">
        <w:rPr>
          <w:szCs w:val="24"/>
        </w:rPr>
        <w:t xml:space="preserve"> </w:t>
      </w:r>
      <w:r w:rsidR="00CF0994" w:rsidRPr="008B4191">
        <w:rPr>
          <w:szCs w:val="24"/>
        </w:rPr>
        <w:t>sav</w:t>
      </w:r>
      <w:r w:rsidR="00CF0994">
        <w:rPr>
          <w:szCs w:val="24"/>
        </w:rPr>
        <w:t xml:space="preserve">ivaldybėje. </w:t>
      </w:r>
    </w:p>
    <w:p w14:paraId="7A4B2105" w14:textId="77777777" w:rsidR="005D533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93D41F" w14:textId="77777777" w:rsidR="00BD1250" w:rsidRPr="00275D56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6A613274" w14:textId="77777777" w:rsidR="00BD1250" w:rsidRDefault="00BD1250" w:rsidP="0075685A">
      <w:pPr>
        <w:rPr>
          <w:szCs w:val="24"/>
        </w:rPr>
      </w:pPr>
    </w:p>
    <w:p w14:paraId="0B7A19B5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6B43D9A4" w14:textId="77777777" w:rsidR="00BD1250" w:rsidRDefault="00BD1250" w:rsidP="0075685A">
      <w:pPr>
        <w:rPr>
          <w:szCs w:val="24"/>
        </w:rPr>
      </w:pPr>
    </w:p>
    <w:p w14:paraId="421AB29C" w14:textId="77777777" w:rsidR="00BD1250" w:rsidRDefault="00BD1250" w:rsidP="0075685A">
      <w:pPr>
        <w:rPr>
          <w:szCs w:val="24"/>
        </w:rPr>
      </w:pPr>
    </w:p>
    <w:p w14:paraId="3F290B16" w14:textId="77777777" w:rsidR="00BD1250" w:rsidRDefault="00BD1250" w:rsidP="0075685A">
      <w:pPr>
        <w:rPr>
          <w:szCs w:val="24"/>
        </w:rPr>
      </w:pPr>
    </w:p>
    <w:p w14:paraId="6D6841FD" w14:textId="77777777" w:rsidR="00BD1250" w:rsidRDefault="00BD1250" w:rsidP="0075685A">
      <w:pPr>
        <w:rPr>
          <w:szCs w:val="24"/>
        </w:rPr>
      </w:pPr>
    </w:p>
    <w:p w14:paraId="697D5158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AE6F" w14:textId="77777777" w:rsidR="008A13EE" w:rsidRDefault="008A13EE" w:rsidP="00AD24B2">
      <w:r>
        <w:separator/>
      </w:r>
    </w:p>
  </w:endnote>
  <w:endnote w:type="continuationSeparator" w:id="0">
    <w:p w14:paraId="5A3D263A" w14:textId="77777777" w:rsidR="008A13EE" w:rsidRDefault="008A13E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6EC9" w14:textId="77777777" w:rsidR="008A13EE" w:rsidRDefault="008A13EE" w:rsidP="00AD24B2">
      <w:r>
        <w:separator/>
      </w:r>
    </w:p>
  </w:footnote>
  <w:footnote w:type="continuationSeparator" w:id="0">
    <w:p w14:paraId="3BCE0FF2" w14:textId="77777777" w:rsidR="008A13EE" w:rsidRDefault="008A13E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1DD3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B4C0B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643F"/>
    <w:rsid w:val="00CE2A68"/>
    <w:rsid w:val="00CE43AD"/>
    <w:rsid w:val="00CE69F7"/>
    <w:rsid w:val="00CF0994"/>
    <w:rsid w:val="00CF2C9A"/>
    <w:rsid w:val="00CF2E5A"/>
    <w:rsid w:val="00CF5693"/>
    <w:rsid w:val="00D01DD2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98</cp:revision>
  <cp:lastPrinted>2017-12-12T14:32:00Z</cp:lastPrinted>
  <dcterms:created xsi:type="dcterms:W3CDTF">2022-04-11T07:23:00Z</dcterms:created>
  <dcterms:modified xsi:type="dcterms:W3CDTF">2023-11-03T08:32:00Z</dcterms:modified>
</cp:coreProperties>
</file>