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A372" w14:textId="77777777" w:rsidR="00E86810" w:rsidRDefault="00E86810" w:rsidP="008C7C9A">
      <w:pPr>
        <w:rPr>
          <w:b/>
          <w:szCs w:val="20"/>
        </w:rPr>
      </w:pPr>
    </w:p>
    <w:p w14:paraId="40E80A9B" w14:textId="77777777" w:rsidR="00E86810" w:rsidRDefault="00E86810" w:rsidP="008C7C9A">
      <w:pPr>
        <w:rPr>
          <w:b/>
          <w:szCs w:val="20"/>
        </w:rPr>
      </w:pPr>
    </w:p>
    <w:p w14:paraId="47E6E69A" w14:textId="77777777" w:rsidR="00E86810" w:rsidRPr="00494432" w:rsidRDefault="00E86810" w:rsidP="00E86810">
      <w:pPr>
        <w:jc w:val="center"/>
        <w:rPr>
          <w:b/>
          <w:sz w:val="36"/>
          <w:szCs w:val="36"/>
        </w:rPr>
      </w:pPr>
      <w:r>
        <w:rPr>
          <w:b/>
          <w:spacing w:val="-2"/>
          <w:sz w:val="36"/>
          <w:szCs w:val="36"/>
        </w:rPr>
        <w:t>Korupcijos pasireiškimo tikimybės nustatymo išvada</w:t>
      </w:r>
    </w:p>
    <w:p w14:paraId="1587ACEF" w14:textId="77777777" w:rsidR="00F309B3" w:rsidRDefault="00F309B3" w:rsidP="00E86810">
      <w:pPr>
        <w:widowControl w:val="0"/>
        <w:suppressAutoHyphens/>
        <w:jc w:val="center"/>
        <w:textAlignment w:val="baseline"/>
      </w:pPr>
    </w:p>
    <w:p w14:paraId="0898184B" w14:textId="5390518F" w:rsidR="00E86810" w:rsidRDefault="00E86810" w:rsidP="00E86810">
      <w:pPr>
        <w:widowControl w:val="0"/>
        <w:suppressAutoHyphens/>
        <w:jc w:val="center"/>
        <w:textAlignment w:val="baseline"/>
      </w:pPr>
      <w:r>
        <w:t>_</w:t>
      </w:r>
      <w:r w:rsidR="00B74862" w:rsidRPr="00B74862">
        <w:rPr>
          <w:u w:val="single"/>
        </w:rPr>
        <w:t>2024-01</w:t>
      </w:r>
      <w:r w:rsidR="00E07DF2">
        <w:rPr>
          <w:u w:val="single"/>
        </w:rPr>
        <w:t xml:space="preserve">- </w:t>
      </w:r>
      <w:r>
        <w:t>_Nr. __________</w:t>
      </w:r>
    </w:p>
    <w:p w14:paraId="4DE8B7A2" w14:textId="77777777" w:rsidR="00E86810" w:rsidRPr="0058248C" w:rsidRDefault="00E86810" w:rsidP="00E86810">
      <w:pPr>
        <w:widowControl w:val="0"/>
        <w:suppressAutoHyphens/>
        <w:textAlignment w:val="baseline"/>
        <w:rPr>
          <w:sz w:val="20"/>
        </w:rPr>
      </w:pPr>
      <w:r>
        <w:rPr>
          <w:sz w:val="20"/>
        </w:rPr>
        <w:t xml:space="preserve">                                                                           </w:t>
      </w:r>
      <w:r w:rsidRPr="0058248C">
        <w:rPr>
          <w:sz w:val="20"/>
        </w:rPr>
        <w:t>(data)</w:t>
      </w:r>
    </w:p>
    <w:p w14:paraId="73D99924" w14:textId="73D93D5A" w:rsidR="00E86810" w:rsidRDefault="00E86810" w:rsidP="00E86810">
      <w:pPr>
        <w:widowControl w:val="0"/>
        <w:suppressAutoHyphens/>
        <w:jc w:val="center"/>
        <w:textAlignment w:val="baseline"/>
      </w:pPr>
      <w:r>
        <w:t>___</w:t>
      </w:r>
      <w:r w:rsidR="00E07DF2">
        <w:rPr>
          <w:u w:val="single"/>
        </w:rPr>
        <w:t>Vilnius</w:t>
      </w:r>
      <w:r>
        <w:t>____</w:t>
      </w:r>
    </w:p>
    <w:p w14:paraId="7DD4EB5E" w14:textId="77777777" w:rsidR="00E86810" w:rsidRPr="0058248C" w:rsidRDefault="00E86810" w:rsidP="00E86810">
      <w:pPr>
        <w:widowControl w:val="0"/>
        <w:suppressAutoHyphens/>
        <w:jc w:val="center"/>
        <w:textAlignment w:val="baseline"/>
        <w:rPr>
          <w:sz w:val="20"/>
        </w:rPr>
      </w:pPr>
      <w:r w:rsidRPr="0058248C">
        <w:rPr>
          <w:sz w:val="20"/>
        </w:rPr>
        <w:t>(Vieta)</w:t>
      </w:r>
    </w:p>
    <w:p w14:paraId="4B2C280C" w14:textId="77777777" w:rsidR="00E86810" w:rsidRPr="00C83814" w:rsidRDefault="00E86810" w:rsidP="008C7C9A">
      <w:pPr>
        <w:rPr>
          <w:b/>
          <w:szCs w:val="20"/>
        </w:rPr>
      </w:pPr>
    </w:p>
    <w:tbl>
      <w:tblPr>
        <w:tblStyle w:val="Lentelstinklelis1"/>
        <w:tblW w:w="0" w:type="auto"/>
        <w:tblInd w:w="-431" w:type="dxa"/>
        <w:tblLayout w:type="fixed"/>
        <w:tblLook w:val="04A0" w:firstRow="1" w:lastRow="0" w:firstColumn="1" w:lastColumn="0" w:noHBand="0" w:noVBand="1"/>
      </w:tblPr>
      <w:tblGrid>
        <w:gridCol w:w="4962"/>
        <w:gridCol w:w="5245"/>
      </w:tblGrid>
      <w:tr w:rsidR="00793632" w:rsidRPr="004A3362" w14:paraId="57D712C6" w14:textId="77777777" w:rsidTr="00FA7102">
        <w:trPr>
          <w:trHeight w:val="601"/>
        </w:trPr>
        <w:tc>
          <w:tcPr>
            <w:tcW w:w="4962" w:type="dxa"/>
          </w:tcPr>
          <w:p w14:paraId="77D225FC" w14:textId="4AAE2B74" w:rsidR="008C7C9A" w:rsidRPr="00494432" w:rsidRDefault="00870FDD" w:rsidP="006F0F38">
            <w:pPr>
              <w:jc w:val="both"/>
              <w:rPr>
                <w:b/>
                <w:szCs w:val="22"/>
              </w:rPr>
            </w:pPr>
            <w:r>
              <w:rPr>
                <w:b/>
                <w:szCs w:val="22"/>
              </w:rPr>
              <w:t xml:space="preserve">1. </w:t>
            </w:r>
            <w:r w:rsidR="004E6BFA" w:rsidRPr="00494432">
              <w:rPr>
                <w:b/>
                <w:szCs w:val="22"/>
              </w:rPr>
              <w:t>Viešojo sektoriaus subjektas</w:t>
            </w:r>
            <w:r w:rsidR="006D625F" w:rsidRPr="00494432">
              <w:rPr>
                <w:b/>
                <w:szCs w:val="22"/>
              </w:rPr>
              <w:t>,</w:t>
            </w:r>
            <w:r w:rsidR="00494432" w:rsidRPr="00494432">
              <w:rPr>
                <w:b/>
                <w:szCs w:val="22"/>
              </w:rPr>
              <w:t xml:space="preserve"> kuriame atliktas</w:t>
            </w:r>
            <w:r w:rsidR="008C7C9A" w:rsidRPr="00494432">
              <w:rPr>
                <w:b/>
                <w:szCs w:val="22"/>
              </w:rPr>
              <w:t xml:space="preserve"> KPT nustatym</w:t>
            </w:r>
            <w:r w:rsidR="00494432" w:rsidRPr="00494432">
              <w:rPr>
                <w:b/>
                <w:szCs w:val="22"/>
              </w:rPr>
              <w:t xml:space="preserve">as </w:t>
            </w:r>
            <w:r w:rsidR="00494432" w:rsidRPr="00EF2B0C">
              <w:rPr>
                <w:szCs w:val="22"/>
              </w:rPr>
              <w:t>(</w:t>
            </w:r>
            <w:r w:rsidR="00EE17DE">
              <w:rPr>
                <w:szCs w:val="22"/>
              </w:rPr>
              <w:t>veiklos sritis (-</w:t>
            </w:r>
            <w:proofErr w:type="spellStart"/>
            <w:r w:rsidR="00EE17DE">
              <w:rPr>
                <w:szCs w:val="22"/>
              </w:rPr>
              <w:t>ys</w:t>
            </w:r>
            <w:proofErr w:type="spellEnd"/>
            <w:r w:rsidR="00EE17DE">
              <w:rPr>
                <w:szCs w:val="22"/>
              </w:rPr>
              <w:t xml:space="preserve">), </w:t>
            </w:r>
            <w:r w:rsidR="006F0F38" w:rsidRPr="00625A53">
              <w:t>kurioje (-</w:t>
            </w:r>
            <w:proofErr w:type="spellStart"/>
            <w:r w:rsidR="006F0F38" w:rsidRPr="00625A53">
              <w:t>iose</w:t>
            </w:r>
            <w:proofErr w:type="spellEnd"/>
            <w:r w:rsidR="006F0F38" w:rsidRPr="00625A53">
              <w:t>) buvo atliekamas korupcijos pasireiškimo tikimybės nustatymas</w:t>
            </w:r>
            <w:r w:rsidR="006F0F38">
              <w:t>, jos (-</w:t>
            </w:r>
            <w:r w:rsidR="005407BE">
              <w:t>ų</w:t>
            </w:r>
            <w:r w:rsidR="006F0F38">
              <w:t>)</w:t>
            </w:r>
            <w:r w:rsidR="005407BE">
              <w:t xml:space="preserve"> trumpas aprašymas</w:t>
            </w:r>
            <w:r w:rsidR="00EE17DE">
              <w:t>).</w:t>
            </w:r>
          </w:p>
        </w:tc>
        <w:tc>
          <w:tcPr>
            <w:tcW w:w="5245" w:type="dxa"/>
          </w:tcPr>
          <w:p w14:paraId="2072EB9A" w14:textId="77777777" w:rsidR="00B2691A" w:rsidRDefault="00506EB0" w:rsidP="008176C8">
            <w:pPr>
              <w:jc w:val="both"/>
              <w:rPr>
                <w:b/>
                <w:bCs/>
              </w:rPr>
            </w:pPr>
            <w:r w:rsidRPr="00506EB0">
              <w:rPr>
                <w:color w:val="000000" w:themeColor="text1"/>
              </w:rPr>
              <w:t>Korupcijos pasireiškimo tikimybės (toliau – KPT) nustatymas buvo</w:t>
            </w:r>
            <w:r>
              <w:rPr>
                <w:color w:val="000000" w:themeColor="text1"/>
              </w:rPr>
              <w:t xml:space="preserve"> </w:t>
            </w:r>
            <w:r w:rsidRPr="00506EB0">
              <w:rPr>
                <w:color w:val="000000" w:themeColor="text1"/>
              </w:rPr>
              <w:t>atliktas</w:t>
            </w:r>
            <w:r w:rsidR="008176C8">
              <w:rPr>
                <w:color w:val="000000" w:themeColor="text1"/>
              </w:rPr>
              <w:t xml:space="preserve"> </w:t>
            </w:r>
            <w:r w:rsidR="008176C8" w:rsidRPr="00E04CF7">
              <w:t xml:space="preserve">Valstybės įmonės Turto banko </w:t>
            </w:r>
            <w:r w:rsidR="008176C8">
              <w:t>(</w:t>
            </w:r>
            <w:r w:rsidR="00137CF7">
              <w:t xml:space="preserve">toliau – Turto bankas) </w:t>
            </w:r>
            <w:r w:rsidR="008176C8" w:rsidRPr="00E04CF7">
              <w:t xml:space="preserve">veiklos srityje – </w:t>
            </w:r>
            <w:r w:rsidR="008176C8" w:rsidRPr="00E04CF7">
              <w:rPr>
                <w:b/>
                <w:bCs/>
              </w:rPr>
              <w:t xml:space="preserve">valstybinėms funkcijoms įgyvendinti nenaudojamo turto </w:t>
            </w:r>
            <w:r w:rsidR="003523DE">
              <w:rPr>
                <w:b/>
                <w:bCs/>
              </w:rPr>
              <w:t>(toliau – nenaudojamas VNT)</w:t>
            </w:r>
            <w:r w:rsidR="00B2691A">
              <w:rPr>
                <w:b/>
                <w:bCs/>
              </w:rPr>
              <w:t xml:space="preserve"> </w:t>
            </w:r>
            <w:r w:rsidR="008176C8" w:rsidRPr="00E04CF7">
              <w:rPr>
                <w:b/>
                <w:bCs/>
              </w:rPr>
              <w:t>nuoma</w:t>
            </w:r>
            <w:r w:rsidR="00B2691A">
              <w:rPr>
                <w:b/>
                <w:bCs/>
              </w:rPr>
              <w:t>.</w:t>
            </w:r>
          </w:p>
          <w:p w14:paraId="4899144A" w14:textId="77777777" w:rsidR="00924375" w:rsidRPr="00924375" w:rsidRDefault="00137CF7" w:rsidP="00924375">
            <w:pPr>
              <w:jc w:val="both"/>
            </w:pPr>
            <w:r>
              <w:rPr>
                <w:b/>
                <w:bCs/>
              </w:rPr>
              <w:t xml:space="preserve"> </w:t>
            </w:r>
            <w:r w:rsidR="00924375" w:rsidRPr="00924375">
              <w:t>Ši veiklos sritis analizuota nagrinėjant nenaudojamo VNT nuomos  teisinį reglamentavimą, vykdomus procesus bei priimamus sprendimus atskiruose etapuose identifikuojant juose tam tikras rizikingas sritis:</w:t>
            </w:r>
          </w:p>
          <w:p w14:paraId="33AC3F23" w14:textId="6E2D0EB8" w:rsidR="00924375" w:rsidRPr="00924375" w:rsidRDefault="00924375" w:rsidP="00924375">
            <w:pPr>
              <w:jc w:val="both"/>
            </w:pPr>
            <w:r w:rsidRPr="00924375">
              <w:t>-</w:t>
            </w:r>
            <w:r>
              <w:t xml:space="preserve"> </w:t>
            </w:r>
            <w:r w:rsidRPr="00924375">
              <w:t>Nenaudojamo VNT nuomotinų objektų sąrašų sudarymas;</w:t>
            </w:r>
          </w:p>
          <w:p w14:paraId="7CA07C75" w14:textId="77777777" w:rsidR="00185C0E" w:rsidRDefault="00185C0E" w:rsidP="00924375">
            <w:pPr>
              <w:jc w:val="both"/>
            </w:pPr>
            <w:r w:rsidRPr="00185C0E">
              <w:t>-</w:t>
            </w:r>
            <w:r>
              <w:t xml:space="preserve"> </w:t>
            </w:r>
            <w:r w:rsidRPr="00185C0E">
              <w:t>Nenaudojamo VNT nuomos be konkurso ir viešo nuomos konkurso procesų organizavimas, panaudos sutarčių sudarymas;</w:t>
            </w:r>
          </w:p>
          <w:p w14:paraId="5E3905EE" w14:textId="1C8A31AD" w:rsidR="00924375" w:rsidRPr="00924375" w:rsidRDefault="00924375" w:rsidP="00924375">
            <w:pPr>
              <w:jc w:val="both"/>
            </w:pPr>
            <w:r w:rsidRPr="00924375">
              <w:t>-</w:t>
            </w:r>
            <w:r>
              <w:t xml:space="preserve"> </w:t>
            </w:r>
            <w:r w:rsidRPr="00924375">
              <w:t>Nenaudojamo VNT nuomos sutarčių sąlygų laikymosi kontrolės užtikrinimas;</w:t>
            </w:r>
          </w:p>
          <w:p w14:paraId="4CA55766" w14:textId="2A0045B7" w:rsidR="00924375" w:rsidRPr="00924375" w:rsidRDefault="00924375" w:rsidP="00924375">
            <w:pPr>
              <w:jc w:val="both"/>
            </w:pPr>
            <w:r w:rsidRPr="00924375">
              <w:t>-</w:t>
            </w:r>
            <w:r>
              <w:t xml:space="preserve"> </w:t>
            </w:r>
            <w:r w:rsidRPr="00924375">
              <w:t>Perimamų nuomos sutarčių rizikų analizė;</w:t>
            </w:r>
          </w:p>
          <w:p w14:paraId="21AE149E" w14:textId="77777777" w:rsidR="008C7C9A" w:rsidRDefault="00924375" w:rsidP="00924375">
            <w:pPr>
              <w:jc w:val="both"/>
            </w:pPr>
            <w:r w:rsidRPr="00924375">
              <w:t>-</w:t>
            </w:r>
            <w:r w:rsidR="00C86CF0">
              <w:t xml:space="preserve"> </w:t>
            </w:r>
            <w:r w:rsidRPr="00924375">
              <w:t>Kitų galimų rizikų susijusių su Nenaudojamu VNT analizė.</w:t>
            </w:r>
          </w:p>
          <w:p w14:paraId="54082743" w14:textId="1FD03970" w:rsidR="001D4462" w:rsidRPr="00836F76" w:rsidRDefault="001D4462" w:rsidP="00924375">
            <w:pPr>
              <w:jc w:val="both"/>
              <w:rPr>
                <w:color w:val="FF0000"/>
              </w:rPr>
            </w:pPr>
          </w:p>
        </w:tc>
      </w:tr>
      <w:tr w:rsidR="00793632" w:rsidRPr="004A3362" w14:paraId="5A75814E" w14:textId="77777777" w:rsidTr="00FA7102">
        <w:tc>
          <w:tcPr>
            <w:tcW w:w="4962" w:type="dxa"/>
          </w:tcPr>
          <w:p w14:paraId="70F8232C" w14:textId="789FFD41" w:rsidR="00494432" w:rsidRPr="00A0489C" w:rsidRDefault="00870FDD" w:rsidP="00870FDD">
            <w:pPr>
              <w:jc w:val="both"/>
              <w:rPr>
                <w:b/>
              </w:rPr>
            </w:pPr>
            <w:r>
              <w:rPr>
                <w:b/>
              </w:rPr>
              <w:t xml:space="preserve">2. </w:t>
            </w:r>
            <w:r w:rsidR="004E6BFA" w:rsidRPr="00494432">
              <w:rPr>
                <w:b/>
              </w:rPr>
              <w:t xml:space="preserve">Asmenys (subjektai), atlikę viešojo sektoriaus subjekto </w:t>
            </w:r>
            <w:r w:rsidR="004E6BFA" w:rsidRPr="00494432">
              <w:rPr>
                <w:b/>
                <w:szCs w:val="22"/>
              </w:rPr>
              <w:t>KPT</w:t>
            </w:r>
            <w:r w:rsidR="004E6BFA" w:rsidRPr="00494432">
              <w:rPr>
                <w:b/>
              </w:rPr>
              <w:t xml:space="preserve"> nustatymą</w:t>
            </w:r>
          </w:p>
        </w:tc>
        <w:tc>
          <w:tcPr>
            <w:tcW w:w="5245" w:type="dxa"/>
          </w:tcPr>
          <w:p w14:paraId="5B495B5A" w14:textId="77777777" w:rsidR="00B33CCB" w:rsidRDefault="009061CE" w:rsidP="004E6BFA">
            <w:pPr>
              <w:rPr>
                <w:color w:val="000000" w:themeColor="text1"/>
              </w:rPr>
            </w:pPr>
            <w:r w:rsidRPr="001679E6">
              <w:rPr>
                <w:color w:val="000000" w:themeColor="text1"/>
              </w:rPr>
              <w:t>Turto banko Saugos ir prevencijos</w:t>
            </w:r>
            <w:r w:rsidR="001679E6" w:rsidRPr="001679E6">
              <w:rPr>
                <w:color w:val="000000" w:themeColor="text1"/>
              </w:rPr>
              <w:t xml:space="preserve"> skyriaus vadovas Darius Zasas</w:t>
            </w:r>
          </w:p>
          <w:p w14:paraId="7A6A48BD" w14:textId="40293EC6" w:rsidR="00E44733" w:rsidRPr="001679E6" w:rsidRDefault="00E44733" w:rsidP="004E6BFA">
            <w:pPr>
              <w:rPr>
                <w:color w:val="000000" w:themeColor="text1"/>
              </w:rPr>
            </w:pPr>
          </w:p>
        </w:tc>
      </w:tr>
      <w:tr w:rsidR="00B52489" w:rsidRPr="004A3362" w14:paraId="157B57A1" w14:textId="77777777" w:rsidTr="00FA7102">
        <w:trPr>
          <w:trHeight w:val="1225"/>
        </w:trPr>
        <w:tc>
          <w:tcPr>
            <w:tcW w:w="4962" w:type="dxa"/>
          </w:tcPr>
          <w:p w14:paraId="29A8483A" w14:textId="691FCEE1" w:rsidR="001203ED" w:rsidRPr="001203ED" w:rsidRDefault="00870FDD" w:rsidP="00870FDD">
            <w:pPr>
              <w:jc w:val="both"/>
              <w:rPr>
                <w:b/>
                <w:szCs w:val="22"/>
              </w:rPr>
            </w:pPr>
            <w:r>
              <w:rPr>
                <w:b/>
                <w:color w:val="000000"/>
              </w:rPr>
              <w:t xml:space="preserve">3. </w:t>
            </w:r>
            <w:r w:rsidR="001203ED" w:rsidRPr="001203ED">
              <w:rPr>
                <w:b/>
                <w:color w:val="000000"/>
              </w:rPr>
              <w:t>Korupcijos pasireiškimo tikimybės nustatymo pradžios ir pabaigos laikas.</w:t>
            </w:r>
          </w:p>
          <w:p w14:paraId="7C1468A2" w14:textId="0E7DB7F8" w:rsidR="00D47D14" w:rsidRPr="00494432" w:rsidRDefault="00B52489" w:rsidP="00870FDD">
            <w:pPr>
              <w:jc w:val="both"/>
              <w:rPr>
                <w:b/>
              </w:rPr>
            </w:pPr>
            <w:r w:rsidRPr="00494432">
              <w:rPr>
                <w:b/>
                <w:szCs w:val="22"/>
              </w:rPr>
              <w:t>A</w:t>
            </w:r>
            <w:r w:rsidRPr="00494432">
              <w:rPr>
                <w:b/>
              </w:rPr>
              <w:t>nalizuotas laikotarpis</w:t>
            </w:r>
            <w:r w:rsidR="001203ED">
              <w:rPr>
                <w:b/>
              </w:rPr>
              <w:t>.</w:t>
            </w:r>
          </w:p>
        </w:tc>
        <w:tc>
          <w:tcPr>
            <w:tcW w:w="5245" w:type="dxa"/>
          </w:tcPr>
          <w:p w14:paraId="49F82704" w14:textId="409D563D" w:rsidR="0078218A" w:rsidRPr="00E04CF7" w:rsidRDefault="00DE2177" w:rsidP="00DE2177">
            <w:pPr>
              <w:widowControl w:val="0"/>
              <w:suppressAutoHyphens/>
              <w:jc w:val="both"/>
              <w:textAlignment w:val="baseline"/>
            </w:pPr>
            <w:r>
              <w:t xml:space="preserve">KPT nustatymo </w:t>
            </w:r>
            <w:r w:rsidR="0078218A" w:rsidRPr="00E04CF7">
              <w:t>buvo analizuota aktuali (2023 lapkričio 30 d. ) situacija bei sprendimų priėmimai nuo  2022 m. sausio mėn. 1 d. iki  2023 m. lapkričio 30.</w:t>
            </w:r>
            <w:r>
              <w:t xml:space="preserve"> Taip pat</w:t>
            </w:r>
            <w:r w:rsidR="00965422">
              <w:t xml:space="preserve"> buvo įvertinti </w:t>
            </w:r>
            <w:r>
              <w:t xml:space="preserve"> KPT nustatymo metu</w:t>
            </w:r>
            <w:r w:rsidR="00965422">
              <w:t xml:space="preserve"> priimti vidaus teisės aktai bei sprendi</w:t>
            </w:r>
            <w:r w:rsidR="00A36B9E">
              <w:t>mai</w:t>
            </w:r>
            <w:r w:rsidR="00CF43B3">
              <w:t>.</w:t>
            </w:r>
          </w:p>
          <w:p w14:paraId="35FF12A7" w14:textId="77777777" w:rsidR="00B52489" w:rsidRPr="00836F76" w:rsidRDefault="00B52489" w:rsidP="004E6BFA">
            <w:pPr>
              <w:rPr>
                <w:color w:val="FF0000"/>
              </w:rPr>
            </w:pPr>
          </w:p>
        </w:tc>
      </w:tr>
      <w:tr w:rsidR="008C7C9A" w:rsidRPr="004A3362" w14:paraId="1F549FDD" w14:textId="77777777" w:rsidTr="00FA7102">
        <w:trPr>
          <w:trHeight w:val="313"/>
        </w:trPr>
        <w:tc>
          <w:tcPr>
            <w:tcW w:w="10207" w:type="dxa"/>
            <w:gridSpan w:val="2"/>
          </w:tcPr>
          <w:p w14:paraId="3C3B7D29" w14:textId="6A903BBB" w:rsidR="00A92497" w:rsidRPr="00F309B3" w:rsidRDefault="00870FDD" w:rsidP="00870FDD">
            <w:pPr>
              <w:rPr>
                <w:b/>
                <w:sz w:val="28"/>
                <w:szCs w:val="28"/>
              </w:rPr>
            </w:pPr>
            <w:r>
              <w:rPr>
                <w:b/>
                <w:sz w:val="28"/>
                <w:szCs w:val="28"/>
              </w:rPr>
              <w:t xml:space="preserve">4. </w:t>
            </w:r>
            <w:r w:rsidR="00FD6D8A" w:rsidRPr="00EF2B0C">
              <w:rPr>
                <w:b/>
                <w:sz w:val="28"/>
                <w:szCs w:val="28"/>
              </w:rPr>
              <w:t>Nustatyt</w:t>
            </w:r>
            <w:r w:rsidR="00FD6D8A">
              <w:rPr>
                <w:b/>
                <w:sz w:val="28"/>
                <w:szCs w:val="28"/>
              </w:rPr>
              <w:t>os</w:t>
            </w:r>
            <w:r w:rsidR="00FD6D8A" w:rsidRPr="00EF2B0C">
              <w:rPr>
                <w:b/>
                <w:sz w:val="28"/>
                <w:szCs w:val="28"/>
              </w:rPr>
              <w:t xml:space="preserve"> </w:t>
            </w:r>
            <w:r w:rsidR="00494432" w:rsidRPr="00EF2B0C">
              <w:rPr>
                <w:b/>
                <w:sz w:val="28"/>
                <w:szCs w:val="28"/>
              </w:rPr>
              <w:t>rizik</w:t>
            </w:r>
            <w:r w:rsidR="00FD6D8A">
              <w:rPr>
                <w:b/>
                <w:sz w:val="28"/>
                <w:szCs w:val="28"/>
              </w:rPr>
              <w:t>os</w:t>
            </w:r>
            <w:r w:rsidR="0077100E">
              <w:rPr>
                <w:b/>
                <w:sz w:val="28"/>
                <w:szCs w:val="28"/>
              </w:rPr>
              <w:t>, jų lygiai</w:t>
            </w:r>
            <w:r w:rsidR="00554B97">
              <w:rPr>
                <w:b/>
                <w:sz w:val="28"/>
                <w:szCs w:val="28"/>
              </w:rPr>
              <w:t>, suskirstymas pagal svarbą</w:t>
            </w:r>
          </w:p>
          <w:p w14:paraId="2806A976" w14:textId="77777777" w:rsidR="00B45433" w:rsidRDefault="00B45433" w:rsidP="00B45433">
            <w:pPr>
              <w:rPr>
                <w:b/>
              </w:rPr>
            </w:pPr>
          </w:p>
          <w:p w14:paraId="03C472B4" w14:textId="77777777" w:rsidR="00B45433" w:rsidRDefault="00B45433" w:rsidP="00B45433">
            <w:pPr>
              <w:rPr>
                <w:b/>
              </w:rPr>
            </w:pPr>
          </w:p>
          <w:p w14:paraId="474C6E35" w14:textId="77777777" w:rsidR="00B45433" w:rsidRDefault="00B45433" w:rsidP="00B45433">
            <w:pPr>
              <w:rPr>
                <w:b/>
              </w:rPr>
            </w:pPr>
          </w:p>
          <w:p w14:paraId="5A2CCD15" w14:textId="77777777" w:rsidR="00B45433" w:rsidRPr="00630B95" w:rsidRDefault="00B45433" w:rsidP="00B45433">
            <w:pPr>
              <w:rPr>
                <w:b/>
              </w:rPr>
            </w:pPr>
          </w:p>
          <w:p w14:paraId="4968157F" w14:textId="77777777" w:rsidR="00B45433" w:rsidRPr="00630B95" w:rsidRDefault="00B45433" w:rsidP="00B45433">
            <w:pPr>
              <w:rPr>
                <w:b/>
              </w:rPr>
            </w:pPr>
          </w:p>
          <w:tbl>
            <w:tblPr>
              <w:tblStyle w:val="Lentelstinklelis"/>
              <w:tblpPr w:leftFromText="180" w:rightFromText="180" w:vertAnchor="page" w:horzAnchor="margin" w:tblpXSpec="center" w:tblpY="965"/>
              <w:tblOverlap w:val="never"/>
              <w:tblW w:w="7650" w:type="dxa"/>
              <w:tblLayout w:type="fixed"/>
              <w:tblLook w:val="0420" w:firstRow="1" w:lastRow="0" w:firstColumn="0" w:lastColumn="0" w:noHBand="0" w:noVBand="1"/>
            </w:tblPr>
            <w:tblGrid>
              <w:gridCol w:w="1188"/>
              <w:gridCol w:w="1736"/>
              <w:gridCol w:w="1182"/>
              <w:gridCol w:w="709"/>
              <w:gridCol w:w="839"/>
              <w:gridCol w:w="950"/>
              <w:gridCol w:w="1046"/>
            </w:tblGrid>
            <w:tr w:rsidR="00B45433" w:rsidRPr="00630B95" w14:paraId="2928711B" w14:textId="77777777" w:rsidTr="009F12B3">
              <w:trPr>
                <w:trHeight w:val="540"/>
              </w:trPr>
              <w:tc>
                <w:tcPr>
                  <w:tcW w:w="1188" w:type="dxa"/>
                  <w:vMerge w:val="restart"/>
                  <w:shd w:val="clear" w:color="auto" w:fill="D9D9D9" w:themeFill="background1" w:themeFillShade="D9"/>
                  <w:textDirection w:val="btLr"/>
                </w:tcPr>
                <w:p w14:paraId="390D7796" w14:textId="77777777" w:rsidR="00B45433" w:rsidRPr="00630B95" w:rsidRDefault="00B45433" w:rsidP="00B45433">
                  <w:pPr>
                    <w:spacing w:line="360" w:lineRule="auto"/>
                    <w:ind w:left="113" w:right="113"/>
                    <w:contextualSpacing/>
                    <w:jc w:val="center"/>
                    <w:rPr>
                      <w:bCs/>
                      <w:sz w:val="56"/>
                      <w:szCs w:val="56"/>
                    </w:rPr>
                  </w:pPr>
                  <w:r w:rsidRPr="00630B95">
                    <w:rPr>
                      <w:bCs/>
                      <w:sz w:val="56"/>
                      <w:szCs w:val="56"/>
                    </w:rPr>
                    <w:lastRenderedPageBreak/>
                    <w:t>POVEIKIS</w:t>
                  </w:r>
                </w:p>
              </w:tc>
              <w:tc>
                <w:tcPr>
                  <w:tcW w:w="1736" w:type="dxa"/>
                  <w:vAlign w:val="center"/>
                </w:tcPr>
                <w:p w14:paraId="54B19626" w14:textId="77777777" w:rsidR="00B45433" w:rsidRPr="00630B95" w:rsidRDefault="00B45433" w:rsidP="00B45433">
                  <w:pPr>
                    <w:spacing w:line="360" w:lineRule="auto"/>
                    <w:contextualSpacing/>
                    <w:jc w:val="center"/>
                    <w:rPr>
                      <w:bCs/>
                    </w:rPr>
                  </w:pPr>
                  <w:r w:rsidRPr="00630B95">
                    <w:rPr>
                      <w:b/>
                      <w:bCs/>
                    </w:rPr>
                    <w:t>Katastrofinis</w:t>
                  </w:r>
                </w:p>
              </w:tc>
              <w:tc>
                <w:tcPr>
                  <w:tcW w:w="1182" w:type="dxa"/>
                  <w:shd w:val="clear" w:color="auto" w:fill="92D050"/>
                  <w:vAlign w:val="center"/>
                </w:tcPr>
                <w:p w14:paraId="3BDA15C8" w14:textId="77777777" w:rsidR="00B45433" w:rsidRPr="00630B95" w:rsidRDefault="00B45433" w:rsidP="00B45433">
                  <w:pPr>
                    <w:spacing w:line="360" w:lineRule="auto"/>
                    <w:contextualSpacing/>
                    <w:jc w:val="center"/>
                    <w:rPr>
                      <w:bCs/>
                    </w:rPr>
                  </w:pPr>
                  <w:r w:rsidRPr="00630B95">
                    <w:rPr>
                      <w:bCs/>
                    </w:rPr>
                    <w:t>5</w:t>
                  </w:r>
                </w:p>
              </w:tc>
              <w:tc>
                <w:tcPr>
                  <w:tcW w:w="709" w:type="dxa"/>
                  <w:shd w:val="clear" w:color="auto" w:fill="FFFF00"/>
                  <w:vAlign w:val="center"/>
                </w:tcPr>
                <w:p w14:paraId="38827BAA" w14:textId="77777777" w:rsidR="00B45433" w:rsidRPr="00630B95" w:rsidRDefault="00B45433" w:rsidP="00B45433">
                  <w:pPr>
                    <w:spacing w:line="360" w:lineRule="auto"/>
                    <w:contextualSpacing/>
                    <w:jc w:val="center"/>
                    <w:rPr>
                      <w:bCs/>
                    </w:rPr>
                  </w:pPr>
                  <w:r w:rsidRPr="00630B95">
                    <w:rPr>
                      <w:bCs/>
                    </w:rPr>
                    <w:t>10</w:t>
                  </w:r>
                </w:p>
              </w:tc>
              <w:tc>
                <w:tcPr>
                  <w:tcW w:w="839" w:type="dxa"/>
                  <w:shd w:val="clear" w:color="auto" w:fill="FFFF00"/>
                  <w:vAlign w:val="center"/>
                </w:tcPr>
                <w:p w14:paraId="00CEF2B7" w14:textId="77777777" w:rsidR="00B45433" w:rsidRPr="00630B95" w:rsidRDefault="00B45433" w:rsidP="00B45433">
                  <w:pPr>
                    <w:spacing w:line="360" w:lineRule="auto"/>
                    <w:contextualSpacing/>
                    <w:jc w:val="center"/>
                    <w:rPr>
                      <w:bCs/>
                    </w:rPr>
                  </w:pPr>
                  <w:r w:rsidRPr="00630B95">
                    <w:rPr>
                      <w:bCs/>
                    </w:rPr>
                    <w:t>15</w:t>
                  </w:r>
                </w:p>
              </w:tc>
              <w:tc>
                <w:tcPr>
                  <w:tcW w:w="950" w:type="dxa"/>
                  <w:shd w:val="clear" w:color="auto" w:fill="FF0000"/>
                  <w:vAlign w:val="center"/>
                </w:tcPr>
                <w:p w14:paraId="1E4214AC" w14:textId="77777777" w:rsidR="00B45433" w:rsidRPr="00630B95" w:rsidRDefault="00B45433" w:rsidP="00B45433">
                  <w:pPr>
                    <w:spacing w:line="360" w:lineRule="auto"/>
                    <w:contextualSpacing/>
                    <w:jc w:val="center"/>
                    <w:rPr>
                      <w:bCs/>
                    </w:rPr>
                  </w:pPr>
                  <w:r w:rsidRPr="00630B95">
                    <w:rPr>
                      <w:bCs/>
                    </w:rPr>
                    <w:t>20</w:t>
                  </w:r>
                </w:p>
              </w:tc>
              <w:tc>
                <w:tcPr>
                  <w:tcW w:w="1046" w:type="dxa"/>
                  <w:shd w:val="clear" w:color="auto" w:fill="FF0000"/>
                  <w:vAlign w:val="center"/>
                </w:tcPr>
                <w:p w14:paraId="681FDB2E" w14:textId="43547326" w:rsidR="00B45433" w:rsidRPr="00E31192" w:rsidRDefault="00B45433" w:rsidP="00E31192">
                  <w:pPr>
                    <w:spacing w:line="360" w:lineRule="auto"/>
                    <w:contextualSpacing/>
                    <w:jc w:val="center"/>
                    <w:rPr>
                      <w:bCs/>
                    </w:rPr>
                  </w:pPr>
                  <w:r w:rsidRPr="00630B95">
                    <w:rPr>
                      <w:bCs/>
                    </w:rPr>
                    <w:t>25</w:t>
                  </w:r>
                </w:p>
              </w:tc>
            </w:tr>
            <w:tr w:rsidR="00B45433" w:rsidRPr="00630B95" w14:paraId="1D7F9AB6" w14:textId="77777777" w:rsidTr="009F12B3">
              <w:trPr>
                <w:trHeight w:val="540"/>
              </w:trPr>
              <w:tc>
                <w:tcPr>
                  <w:tcW w:w="1188" w:type="dxa"/>
                  <w:vMerge/>
                  <w:shd w:val="clear" w:color="auto" w:fill="D9D9D9" w:themeFill="background1" w:themeFillShade="D9"/>
                </w:tcPr>
                <w:p w14:paraId="0F87DE7F" w14:textId="77777777" w:rsidR="00B45433" w:rsidRPr="00630B95" w:rsidRDefault="00B45433" w:rsidP="00B45433">
                  <w:pPr>
                    <w:spacing w:line="360" w:lineRule="auto"/>
                    <w:contextualSpacing/>
                    <w:jc w:val="both"/>
                    <w:rPr>
                      <w:bCs/>
                    </w:rPr>
                  </w:pPr>
                </w:p>
              </w:tc>
              <w:tc>
                <w:tcPr>
                  <w:tcW w:w="1736" w:type="dxa"/>
                  <w:vAlign w:val="center"/>
                </w:tcPr>
                <w:p w14:paraId="6A6F5EC3" w14:textId="77777777" w:rsidR="00B45433" w:rsidRPr="00630B95" w:rsidRDefault="00B45433" w:rsidP="00B45433">
                  <w:pPr>
                    <w:spacing w:line="360" w:lineRule="auto"/>
                    <w:contextualSpacing/>
                    <w:jc w:val="center"/>
                    <w:rPr>
                      <w:bCs/>
                    </w:rPr>
                  </w:pPr>
                  <w:r w:rsidRPr="00630B95">
                    <w:rPr>
                      <w:b/>
                      <w:bCs/>
                    </w:rPr>
                    <w:t>Kritinis</w:t>
                  </w:r>
                </w:p>
              </w:tc>
              <w:tc>
                <w:tcPr>
                  <w:tcW w:w="1182" w:type="dxa"/>
                  <w:shd w:val="clear" w:color="auto" w:fill="92D050"/>
                  <w:vAlign w:val="center"/>
                </w:tcPr>
                <w:p w14:paraId="4D935A9F" w14:textId="77777777" w:rsidR="00B45433" w:rsidRPr="00630B95" w:rsidRDefault="00B45433" w:rsidP="00B45433">
                  <w:pPr>
                    <w:spacing w:line="360" w:lineRule="auto"/>
                    <w:contextualSpacing/>
                    <w:jc w:val="center"/>
                    <w:rPr>
                      <w:bCs/>
                    </w:rPr>
                  </w:pPr>
                  <w:r w:rsidRPr="00630B95">
                    <w:rPr>
                      <w:bCs/>
                    </w:rPr>
                    <w:t>4</w:t>
                  </w:r>
                </w:p>
              </w:tc>
              <w:tc>
                <w:tcPr>
                  <w:tcW w:w="709" w:type="dxa"/>
                  <w:shd w:val="clear" w:color="auto" w:fill="FFFF00"/>
                  <w:vAlign w:val="center"/>
                </w:tcPr>
                <w:p w14:paraId="2908624D" w14:textId="77777777" w:rsidR="00B45433" w:rsidRPr="00630B95" w:rsidRDefault="00B45433" w:rsidP="00B45433">
                  <w:pPr>
                    <w:spacing w:line="360" w:lineRule="auto"/>
                    <w:contextualSpacing/>
                    <w:jc w:val="center"/>
                    <w:rPr>
                      <w:bCs/>
                    </w:rPr>
                  </w:pPr>
                  <w:r w:rsidRPr="00630B95">
                    <w:rPr>
                      <w:bCs/>
                    </w:rPr>
                    <w:t>8</w:t>
                  </w:r>
                </w:p>
              </w:tc>
              <w:tc>
                <w:tcPr>
                  <w:tcW w:w="839" w:type="dxa"/>
                  <w:shd w:val="clear" w:color="auto" w:fill="FFFF00"/>
                  <w:vAlign w:val="center"/>
                </w:tcPr>
                <w:p w14:paraId="41AFE3F6" w14:textId="77777777" w:rsidR="00B45433" w:rsidRPr="00630B95" w:rsidRDefault="00B45433" w:rsidP="00B45433">
                  <w:pPr>
                    <w:spacing w:line="360" w:lineRule="auto"/>
                    <w:contextualSpacing/>
                    <w:jc w:val="center"/>
                    <w:rPr>
                      <w:bCs/>
                    </w:rPr>
                  </w:pPr>
                  <w:r w:rsidRPr="00630B95">
                    <w:rPr>
                      <w:bCs/>
                    </w:rPr>
                    <w:t>12</w:t>
                  </w:r>
                </w:p>
              </w:tc>
              <w:tc>
                <w:tcPr>
                  <w:tcW w:w="950" w:type="dxa"/>
                  <w:shd w:val="clear" w:color="auto" w:fill="FF0000"/>
                  <w:vAlign w:val="center"/>
                </w:tcPr>
                <w:p w14:paraId="13C932DB" w14:textId="77777777" w:rsidR="00B45433" w:rsidRPr="00630B95" w:rsidRDefault="00B45433" w:rsidP="00B45433">
                  <w:pPr>
                    <w:spacing w:line="360" w:lineRule="auto"/>
                    <w:contextualSpacing/>
                    <w:jc w:val="center"/>
                    <w:rPr>
                      <w:bCs/>
                    </w:rPr>
                  </w:pPr>
                  <w:r w:rsidRPr="00630B95">
                    <w:rPr>
                      <w:bCs/>
                    </w:rPr>
                    <w:t>16</w:t>
                  </w:r>
                </w:p>
              </w:tc>
              <w:tc>
                <w:tcPr>
                  <w:tcW w:w="1046" w:type="dxa"/>
                  <w:shd w:val="clear" w:color="auto" w:fill="FF0000"/>
                  <w:vAlign w:val="center"/>
                </w:tcPr>
                <w:p w14:paraId="28B0B0E9" w14:textId="77777777" w:rsidR="00B45433" w:rsidRPr="00630B95" w:rsidRDefault="00B45433" w:rsidP="00B45433">
                  <w:pPr>
                    <w:spacing w:line="360" w:lineRule="auto"/>
                    <w:contextualSpacing/>
                    <w:jc w:val="center"/>
                    <w:rPr>
                      <w:bCs/>
                    </w:rPr>
                  </w:pPr>
                  <w:r w:rsidRPr="00630B95">
                    <w:rPr>
                      <w:bCs/>
                    </w:rPr>
                    <w:t>20</w:t>
                  </w:r>
                </w:p>
              </w:tc>
            </w:tr>
            <w:tr w:rsidR="00B45433" w:rsidRPr="00630B95" w14:paraId="41EB1BF5" w14:textId="77777777" w:rsidTr="009F12B3">
              <w:trPr>
                <w:trHeight w:val="540"/>
              </w:trPr>
              <w:tc>
                <w:tcPr>
                  <w:tcW w:w="1188" w:type="dxa"/>
                  <w:vMerge/>
                  <w:shd w:val="clear" w:color="auto" w:fill="D9D9D9" w:themeFill="background1" w:themeFillShade="D9"/>
                </w:tcPr>
                <w:p w14:paraId="435EF735" w14:textId="77777777" w:rsidR="00B45433" w:rsidRPr="00630B95" w:rsidRDefault="00B45433" w:rsidP="00B45433">
                  <w:pPr>
                    <w:spacing w:line="360" w:lineRule="auto"/>
                    <w:contextualSpacing/>
                    <w:jc w:val="both"/>
                    <w:rPr>
                      <w:bCs/>
                    </w:rPr>
                  </w:pPr>
                </w:p>
              </w:tc>
              <w:tc>
                <w:tcPr>
                  <w:tcW w:w="1736" w:type="dxa"/>
                  <w:vAlign w:val="center"/>
                </w:tcPr>
                <w:p w14:paraId="2D3E83D9" w14:textId="77777777" w:rsidR="00B45433" w:rsidRPr="00630B95" w:rsidRDefault="00B45433" w:rsidP="00B45433">
                  <w:pPr>
                    <w:spacing w:line="360" w:lineRule="auto"/>
                    <w:contextualSpacing/>
                    <w:jc w:val="center"/>
                    <w:rPr>
                      <w:bCs/>
                    </w:rPr>
                  </w:pPr>
                  <w:r w:rsidRPr="00630B95">
                    <w:rPr>
                      <w:b/>
                      <w:bCs/>
                    </w:rPr>
                    <w:t>Pastebimas</w:t>
                  </w:r>
                </w:p>
              </w:tc>
              <w:tc>
                <w:tcPr>
                  <w:tcW w:w="1182" w:type="dxa"/>
                  <w:shd w:val="clear" w:color="auto" w:fill="92D050"/>
                  <w:vAlign w:val="center"/>
                </w:tcPr>
                <w:p w14:paraId="44E56845" w14:textId="77777777" w:rsidR="00B45433" w:rsidRDefault="00B45433" w:rsidP="00B45433">
                  <w:pPr>
                    <w:spacing w:line="360" w:lineRule="auto"/>
                    <w:contextualSpacing/>
                    <w:jc w:val="center"/>
                    <w:rPr>
                      <w:bCs/>
                    </w:rPr>
                  </w:pPr>
                  <w:r w:rsidRPr="00630B95">
                    <w:rPr>
                      <w:bCs/>
                    </w:rPr>
                    <w:t>3</w:t>
                  </w:r>
                </w:p>
                <w:p w14:paraId="5254DC45" w14:textId="2682A35C" w:rsidR="009F12B3" w:rsidRPr="00630B95" w:rsidRDefault="009F12B3" w:rsidP="00B45433">
                  <w:pPr>
                    <w:spacing w:line="360" w:lineRule="auto"/>
                    <w:contextualSpacing/>
                    <w:jc w:val="center"/>
                    <w:rPr>
                      <w:bCs/>
                    </w:rPr>
                  </w:pPr>
                  <w:r w:rsidRPr="009234AA">
                    <w:rPr>
                      <w:b/>
                      <w:bCs/>
                      <w:i/>
                    </w:rPr>
                    <w:t>R</w:t>
                  </w:r>
                  <w:r w:rsidRPr="009234AA">
                    <w:rPr>
                      <w:b/>
                      <w:bCs/>
                      <w:i/>
                      <w:vertAlign w:val="subscript"/>
                    </w:rPr>
                    <w:t>1</w:t>
                  </w:r>
                  <w:r>
                    <w:rPr>
                      <w:b/>
                      <w:bCs/>
                      <w:i/>
                      <w:vertAlign w:val="subscript"/>
                    </w:rPr>
                    <w:t xml:space="preserve">, </w:t>
                  </w:r>
                  <w:r w:rsidRPr="009234AA">
                    <w:rPr>
                      <w:b/>
                      <w:bCs/>
                      <w:i/>
                    </w:rPr>
                    <w:t>R</w:t>
                  </w:r>
                  <w:r>
                    <w:rPr>
                      <w:b/>
                      <w:bCs/>
                      <w:i/>
                      <w:vertAlign w:val="subscript"/>
                    </w:rPr>
                    <w:t>2,</w:t>
                  </w:r>
                  <w:r w:rsidRPr="009234AA">
                    <w:rPr>
                      <w:b/>
                      <w:bCs/>
                      <w:i/>
                    </w:rPr>
                    <w:t xml:space="preserve"> R</w:t>
                  </w:r>
                  <w:r>
                    <w:rPr>
                      <w:b/>
                      <w:bCs/>
                      <w:i/>
                      <w:vertAlign w:val="subscript"/>
                    </w:rPr>
                    <w:t>3</w:t>
                  </w:r>
                </w:p>
              </w:tc>
              <w:tc>
                <w:tcPr>
                  <w:tcW w:w="709" w:type="dxa"/>
                  <w:shd w:val="clear" w:color="auto" w:fill="FFFF00"/>
                  <w:vAlign w:val="center"/>
                </w:tcPr>
                <w:p w14:paraId="1C932500" w14:textId="77777777" w:rsidR="00B45433" w:rsidRPr="00630B95" w:rsidRDefault="00B45433" w:rsidP="00B45433">
                  <w:pPr>
                    <w:spacing w:line="360" w:lineRule="auto"/>
                    <w:contextualSpacing/>
                    <w:jc w:val="center"/>
                    <w:rPr>
                      <w:bCs/>
                    </w:rPr>
                  </w:pPr>
                  <w:r w:rsidRPr="00630B95">
                    <w:rPr>
                      <w:bCs/>
                    </w:rPr>
                    <w:t>6</w:t>
                  </w:r>
                </w:p>
              </w:tc>
              <w:tc>
                <w:tcPr>
                  <w:tcW w:w="839" w:type="dxa"/>
                  <w:shd w:val="clear" w:color="auto" w:fill="FFFF00"/>
                  <w:vAlign w:val="center"/>
                </w:tcPr>
                <w:p w14:paraId="53FF33FC" w14:textId="77777777" w:rsidR="00B45433" w:rsidRPr="00630B95" w:rsidRDefault="00B45433" w:rsidP="00B45433">
                  <w:pPr>
                    <w:spacing w:line="360" w:lineRule="auto"/>
                    <w:contextualSpacing/>
                    <w:jc w:val="center"/>
                    <w:rPr>
                      <w:bCs/>
                    </w:rPr>
                  </w:pPr>
                  <w:r w:rsidRPr="00630B95">
                    <w:rPr>
                      <w:bCs/>
                    </w:rPr>
                    <w:t>9</w:t>
                  </w:r>
                </w:p>
              </w:tc>
              <w:tc>
                <w:tcPr>
                  <w:tcW w:w="950" w:type="dxa"/>
                  <w:shd w:val="clear" w:color="auto" w:fill="FFFF00"/>
                  <w:vAlign w:val="center"/>
                </w:tcPr>
                <w:p w14:paraId="007A333A" w14:textId="77777777" w:rsidR="00B45433" w:rsidRPr="00630B95" w:rsidRDefault="00B45433" w:rsidP="00B45433">
                  <w:pPr>
                    <w:spacing w:line="360" w:lineRule="auto"/>
                    <w:contextualSpacing/>
                    <w:jc w:val="center"/>
                    <w:rPr>
                      <w:bCs/>
                    </w:rPr>
                  </w:pPr>
                  <w:r w:rsidRPr="00630B95">
                    <w:rPr>
                      <w:bCs/>
                    </w:rPr>
                    <w:t>12</w:t>
                  </w:r>
                </w:p>
              </w:tc>
              <w:tc>
                <w:tcPr>
                  <w:tcW w:w="1046" w:type="dxa"/>
                  <w:shd w:val="clear" w:color="auto" w:fill="FFFF00"/>
                  <w:vAlign w:val="center"/>
                </w:tcPr>
                <w:p w14:paraId="53561EFC" w14:textId="77777777" w:rsidR="00B45433" w:rsidRDefault="00B45433" w:rsidP="00B45433">
                  <w:pPr>
                    <w:spacing w:line="360" w:lineRule="auto"/>
                    <w:contextualSpacing/>
                    <w:jc w:val="center"/>
                    <w:rPr>
                      <w:bCs/>
                    </w:rPr>
                  </w:pPr>
                  <w:r w:rsidRPr="00630B95">
                    <w:rPr>
                      <w:bCs/>
                    </w:rPr>
                    <w:t>15</w:t>
                  </w:r>
                </w:p>
                <w:p w14:paraId="6B0BE207" w14:textId="7CCDFD73" w:rsidR="00785BB8" w:rsidRPr="00630B95" w:rsidRDefault="00785BB8" w:rsidP="00B45433">
                  <w:pPr>
                    <w:spacing w:line="360" w:lineRule="auto"/>
                    <w:contextualSpacing/>
                    <w:jc w:val="center"/>
                    <w:rPr>
                      <w:bCs/>
                    </w:rPr>
                  </w:pPr>
                  <w:r w:rsidRPr="009C72A3">
                    <w:rPr>
                      <w:b/>
                      <w:iCs/>
                      <w:sz w:val="22"/>
                      <w:szCs w:val="22"/>
                    </w:rPr>
                    <w:t>R</w:t>
                  </w:r>
                  <w:r w:rsidRPr="009C72A3">
                    <w:rPr>
                      <w:b/>
                      <w:iCs/>
                      <w:sz w:val="22"/>
                      <w:szCs w:val="22"/>
                      <w:vertAlign w:val="subscript"/>
                    </w:rPr>
                    <w:t>4</w:t>
                  </w:r>
                </w:p>
              </w:tc>
            </w:tr>
            <w:tr w:rsidR="00B45433" w:rsidRPr="00630B95" w14:paraId="118924A2" w14:textId="77777777" w:rsidTr="009F12B3">
              <w:trPr>
                <w:trHeight w:val="540"/>
              </w:trPr>
              <w:tc>
                <w:tcPr>
                  <w:tcW w:w="1188" w:type="dxa"/>
                  <w:vMerge/>
                  <w:shd w:val="clear" w:color="auto" w:fill="D9D9D9" w:themeFill="background1" w:themeFillShade="D9"/>
                </w:tcPr>
                <w:p w14:paraId="739C5D4B" w14:textId="77777777" w:rsidR="00B45433" w:rsidRPr="00630B95" w:rsidRDefault="00B45433" w:rsidP="00B45433">
                  <w:pPr>
                    <w:spacing w:line="360" w:lineRule="auto"/>
                    <w:contextualSpacing/>
                    <w:jc w:val="both"/>
                    <w:rPr>
                      <w:bCs/>
                    </w:rPr>
                  </w:pPr>
                </w:p>
              </w:tc>
              <w:tc>
                <w:tcPr>
                  <w:tcW w:w="1736" w:type="dxa"/>
                  <w:vAlign w:val="center"/>
                </w:tcPr>
                <w:p w14:paraId="50B3F789" w14:textId="77777777" w:rsidR="00B45433" w:rsidRPr="00630B95" w:rsidRDefault="00B45433" w:rsidP="00B45433">
                  <w:pPr>
                    <w:spacing w:line="360" w:lineRule="auto"/>
                    <w:contextualSpacing/>
                    <w:jc w:val="center"/>
                    <w:rPr>
                      <w:bCs/>
                    </w:rPr>
                  </w:pPr>
                  <w:r w:rsidRPr="00630B95">
                    <w:rPr>
                      <w:b/>
                      <w:bCs/>
                    </w:rPr>
                    <w:t>Žemas</w:t>
                  </w:r>
                </w:p>
              </w:tc>
              <w:tc>
                <w:tcPr>
                  <w:tcW w:w="1182" w:type="dxa"/>
                  <w:shd w:val="clear" w:color="auto" w:fill="92D050"/>
                  <w:vAlign w:val="center"/>
                </w:tcPr>
                <w:p w14:paraId="232C3530" w14:textId="77777777" w:rsidR="00B45433" w:rsidRPr="00630B95" w:rsidRDefault="00B45433" w:rsidP="00B45433">
                  <w:pPr>
                    <w:spacing w:line="360" w:lineRule="auto"/>
                    <w:contextualSpacing/>
                    <w:jc w:val="center"/>
                    <w:rPr>
                      <w:bCs/>
                    </w:rPr>
                  </w:pPr>
                  <w:r w:rsidRPr="00630B95">
                    <w:rPr>
                      <w:bCs/>
                    </w:rPr>
                    <w:t>2</w:t>
                  </w:r>
                </w:p>
              </w:tc>
              <w:tc>
                <w:tcPr>
                  <w:tcW w:w="709" w:type="dxa"/>
                  <w:shd w:val="clear" w:color="auto" w:fill="92D050"/>
                  <w:vAlign w:val="center"/>
                </w:tcPr>
                <w:p w14:paraId="720133EC" w14:textId="77777777" w:rsidR="00B45433" w:rsidRPr="00630B95" w:rsidRDefault="00B45433" w:rsidP="00B45433">
                  <w:pPr>
                    <w:spacing w:line="360" w:lineRule="auto"/>
                    <w:contextualSpacing/>
                    <w:jc w:val="center"/>
                    <w:rPr>
                      <w:bCs/>
                    </w:rPr>
                  </w:pPr>
                  <w:r w:rsidRPr="00630B95">
                    <w:rPr>
                      <w:bCs/>
                    </w:rPr>
                    <w:t>4</w:t>
                  </w:r>
                </w:p>
              </w:tc>
              <w:tc>
                <w:tcPr>
                  <w:tcW w:w="839" w:type="dxa"/>
                  <w:shd w:val="clear" w:color="auto" w:fill="FFFF00"/>
                  <w:vAlign w:val="center"/>
                </w:tcPr>
                <w:p w14:paraId="3331DB7F" w14:textId="77777777" w:rsidR="00B45433" w:rsidRPr="00630B95" w:rsidRDefault="00B45433" w:rsidP="00B45433">
                  <w:pPr>
                    <w:spacing w:line="360" w:lineRule="auto"/>
                    <w:contextualSpacing/>
                    <w:jc w:val="center"/>
                    <w:rPr>
                      <w:bCs/>
                    </w:rPr>
                  </w:pPr>
                  <w:r w:rsidRPr="00630B95">
                    <w:rPr>
                      <w:bCs/>
                    </w:rPr>
                    <w:t>6</w:t>
                  </w:r>
                </w:p>
              </w:tc>
              <w:tc>
                <w:tcPr>
                  <w:tcW w:w="950" w:type="dxa"/>
                  <w:shd w:val="clear" w:color="auto" w:fill="FFFF00"/>
                  <w:vAlign w:val="center"/>
                </w:tcPr>
                <w:p w14:paraId="1ABE6D3B" w14:textId="77777777" w:rsidR="00B45433" w:rsidRPr="00630B95" w:rsidRDefault="00B45433" w:rsidP="00B45433">
                  <w:pPr>
                    <w:spacing w:line="360" w:lineRule="auto"/>
                    <w:contextualSpacing/>
                    <w:jc w:val="center"/>
                    <w:rPr>
                      <w:bCs/>
                    </w:rPr>
                  </w:pPr>
                  <w:r w:rsidRPr="00630B95">
                    <w:rPr>
                      <w:bCs/>
                    </w:rPr>
                    <w:t>8</w:t>
                  </w:r>
                </w:p>
              </w:tc>
              <w:tc>
                <w:tcPr>
                  <w:tcW w:w="1046" w:type="dxa"/>
                  <w:shd w:val="clear" w:color="auto" w:fill="FFFF00"/>
                  <w:vAlign w:val="center"/>
                </w:tcPr>
                <w:p w14:paraId="16713EF6" w14:textId="77777777" w:rsidR="00B45433" w:rsidRPr="00630B95" w:rsidRDefault="00B45433" w:rsidP="00B45433">
                  <w:pPr>
                    <w:spacing w:line="360" w:lineRule="auto"/>
                    <w:contextualSpacing/>
                    <w:jc w:val="center"/>
                    <w:rPr>
                      <w:bCs/>
                    </w:rPr>
                  </w:pPr>
                  <w:r w:rsidRPr="00630B95">
                    <w:rPr>
                      <w:bCs/>
                    </w:rPr>
                    <w:t>10</w:t>
                  </w:r>
                </w:p>
              </w:tc>
            </w:tr>
            <w:tr w:rsidR="00B45433" w:rsidRPr="00630B95" w14:paraId="3C658D12" w14:textId="77777777" w:rsidTr="009F12B3">
              <w:trPr>
                <w:trHeight w:val="540"/>
              </w:trPr>
              <w:tc>
                <w:tcPr>
                  <w:tcW w:w="1188" w:type="dxa"/>
                  <w:vMerge/>
                  <w:shd w:val="clear" w:color="auto" w:fill="D9D9D9" w:themeFill="background1" w:themeFillShade="D9"/>
                </w:tcPr>
                <w:p w14:paraId="554F1658" w14:textId="77777777" w:rsidR="00B45433" w:rsidRPr="00630B95" w:rsidRDefault="00B45433" w:rsidP="00B45433">
                  <w:pPr>
                    <w:spacing w:line="360" w:lineRule="auto"/>
                    <w:contextualSpacing/>
                    <w:jc w:val="both"/>
                    <w:rPr>
                      <w:bCs/>
                    </w:rPr>
                  </w:pPr>
                </w:p>
              </w:tc>
              <w:tc>
                <w:tcPr>
                  <w:tcW w:w="1736" w:type="dxa"/>
                  <w:vAlign w:val="center"/>
                </w:tcPr>
                <w:p w14:paraId="56191059" w14:textId="77777777" w:rsidR="00B45433" w:rsidRPr="00630B95" w:rsidRDefault="00B45433" w:rsidP="00B45433">
                  <w:pPr>
                    <w:spacing w:line="360" w:lineRule="auto"/>
                    <w:contextualSpacing/>
                    <w:jc w:val="center"/>
                    <w:rPr>
                      <w:bCs/>
                    </w:rPr>
                  </w:pPr>
                  <w:r w:rsidRPr="00630B95">
                    <w:rPr>
                      <w:b/>
                      <w:bCs/>
                    </w:rPr>
                    <w:t>Nereikšmingas</w:t>
                  </w:r>
                </w:p>
              </w:tc>
              <w:tc>
                <w:tcPr>
                  <w:tcW w:w="1182" w:type="dxa"/>
                  <w:shd w:val="clear" w:color="auto" w:fill="92D050"/>
                  <w:vAlign w:val="center"/>
                </w:tcPr>
                <w:p w14:paraId="1A951321" w14:textId="77777777" w:rsidR="00B45433" w:rsidRPr="00630B95" w:rsidRDefault="00B45433" w:rsidP="00B45433">
                  <w:pPr>
                    <w:spacing w:line="360" w:lineRule="auto"/>
                    <w:contextualSpacing/>
                    <w:jc w:val="center"/>
                    <w:rPr>
                      <w:bCs/>
                    </w:rPr>
                  </w:pPr>
                  <w:r w:rsidRPr="00630B95">
                    <w:rPr>
                      <w:bCs/>
                    </w:rPr>
                    <w:t>1</w:t>
                  </w:r>
                </w:p>
              </w:tc>
              <w:tc>
                <w:tcPr>
                  <w:tcW w:w="709" w:type="dxa"/>
                  <w:shd w:val="clear" w:color="auto" w:fill="92D050"/>
                  <w:vAlign w:val="center"/>
                </w:tcPr>
                <w:p w14:paraId="640BA8EF" w14:textId="77777777" w:rsidR="00B45433" w:rsidRPr="00630B95" w:rsidRDefault="00B45433" w:rsidP="00B45433">
                  <w:pPr>
                    <w:spacing w:line="360" w:lineRule="auto"/>
                    <w:contextualSpacing/>
                    <w:jc w:val="center"/>
                    <w:rPr>
                      <w:bCs/>
                    </w:rPr>
                  </w:pPr>
                  <w:r w:rsidRPr="00630B95">
                    <w:rPr>
                      <w:bCs/>
                    </w:rPr>
                    <w:t>2</w:t>
                  </w:r>
                </w:p>
              </w:tc>
              <w:tc>
                <w:tcPr>
                  <w:tcW w:w="839" w:type="dxa"/>
                  <w:shd w:val="clear" w:color="auto" w:fill="92D050"/>
                  <w:vAlign w:val="center"/>
                </w:tcPr>
                <w:p w14:paraId="2E5CD1C3" w14:textId="77777777" w:rsidR="00B45433" w:rsidRPr="00630B95" w:rsidRDefault="00B45433" w:rsidP="00B45433">
                  <w:pPr>
                    <w:spacing w:line="360" w:lineRule="auto"/>
                    <w:contextualSpacing/>
                    <w:jc w:val="center"/>
                    <w:rPr>
                      <w:bCs/>
                    </w:rPr>
                  </w:pPr>
                  <w:r w:rsidRPr="00630B95">
                    <w:rPr>
                      <w:bCs/>
                    </w:rPr>
                    <w:t>3</w:t>
                  </w:r>
                </w:p>
              </w:tc>
              <w:tc>
                <w:tcPr>
                  <w:tcW w:w="950" w:type="dxa"/>
                  <w:shd w:val="clear" w:color="auto" w:fill="92D050"/>
                  <w:vAlign w:val="center"/>
                </w:tcPr>
                <w:p w14:paraId="39E7DFC3" w14:textId="77777777" w:rsidR="00B45433" w:rsidRPr="00630B95" w:rsidRDefault="00B45433" w:rsidP="00B45433">
                  <w:pPr>
                    <w:spacing w:line="360" w:lineRule="auto"/>
                    <w:contextualSpacing/>
                    <w:jc w:val="center"/>
                    <w:rPr>
                      <w:bCs/>
                    </w:rPr>
                  </w:pPr>
                  <w:r w:rsidRPr="00630B95">
                    <w:rPr>
                      <w:bCs/>
                    </w:rPr>
                    <w:t>4</w:t>
                  </w:r>
                </w:p>
              </w:tc>
              <w:tc>
                <w:tcPr>
                  <w:tcW w:w="1046" w:type="dxa"/>
                  <w:shd w:val="clear" w:color="auto" w:fill="92D050"/>
                  <w:vAlign w:val="center"/>
                </w:tcPr>
                <w:p w14:paraId="0F7FFEFB" w14:textId="77777777" w:rsidR="00B45433" w:rsidRPr="00630B95" w:rsidRDefault="00B45433" w:rsidP="00B45433">
                  <w:pPr>
                    <w:spacing w:line="360" w:lineRule="auto"/>
                    <w:contextualSpacing/>
                    <w:jc w:val="center"/>
                    <w:rPr>
                      <w:bCs/>
                    </w:rPr>
                  </w:pPr>
                  <w:r w:rsidRPr="00630B95">
                    <w:rPr>
                      <w:bCs/>
                    </w:rPr>
                    <w:t>5</w:t>
                  </w:r>
                </w:p>
              </w:tc>
            </w:tr>
            <w:tr w:rsidR="00B45433" w:rsidRPr="00630B95" w14:paraId="4C693EEC" w14:textId="77777777" w:rsidTr="009F12B3">
              <w:trPr>
                <w:trHeight w:val="741"/>
              </w:trPr>
              <w:tc>
                <w:tcPr>
                  <w:tcW w:w="1188" w:type="dxa"/>
                  <w:vMerge/>
                  <w:tcBorders>
                    <w:bottom w:val="single" w:sz="4" w:space="0" w:color="auto"/>
                  </w:tcBorders>
                  <w:shd w:val="clear" w:color="auto" w:fill="D9D9D9" w:themeFill="background1" w:themeFillShade="D9"/>
                </w:tcPr>
                <w:p w14:paraId="1EE1B39F" w14:textId="77777777" w:rsidR="00B45433" w:rsidRPr="00630B95" w:rsidRDefault="00B45433" w:rsidP="00B45433">
                  <w:pPr>
                    <w:spacing w:line="360" w:lineRule="auto"/>
                    <w:contextualSpacing/>
                    <w:jc w:val="both"/>
                    <w:rPr>
                      <w:bCs/>
                    </w:rPr>
                  </w:pPr>
                </w:p>
              </w:tc>
              <w:tc>
                <w:tcPr>
                  <w:tcW w:w="1736" w:type="dxa"/>
                  <w:vAlign w:val="center"/>
                </w:tcPr>
                <w:p w14:paraId="53B4AA8F" w14:textId="77777777" w:rsidR="00B45433" w:rsidRPr="00630B95" w:rsidRDefault="00B45433" w:rsidP="00B45433">
                  <w:pPr>
                    <w:spacing w:line="360" w:lineRule="auto"/>
                    <w:contextualSpacing/>
                    <w:jc w:val="center"/>
                    <w:rPr>
                      <w:bCs/>
                    </w:rPr>
                  </w:pPr>
                </w:p>
              </w:tc>
              <w:tc>
                <w:tcPr>
                  <w:tcW w:w="1182" w:type="dxa"/>
                  <w:vAlign w:val="center"/>
                </w:tcPr>
                <w:p w14:paraId="55001AF2" w14:textId="77777777" w:rsidR="00B45433" w:rsidRPr="00630B95" w:rsidRDefault="00B45433" w:rsidP="00B45433">
                  <w:pPr>
                    <w:spacing w:line="360" w:lineRule="auto"/>
                    <w:contextualSpacing/>
                    <w:jc w:val="center"/>
                    <w:rPr>
                      <w:bCs/>
                    </w:rPr>
                  </w:pPr>
                  <w:r w:rsidRPr="00630B95">
                    <w:rPr>
                      <w:b/>
                      <w:bCs/>
                    </w:rPr>
                    <w:t>Labai žema</w:t>
                  </w:r>
                </w:p>
              </w:tc>
              <w:tc>
                <w:tcPr>
                  <w:tcW w:w="709" w:type="dxa"/>
                  <w:vAlign w:val="center"/>
                </w:tcPr>
                <w:p w14:paraId="00169E71" w14:textId="77777777" w:rsidR="00B45433" w:rsidRPr="00630B95" w:rsidRDefault="00B45433" w:rsidP="00B45433">
                  <w:pPr>
                    <w:spacing w:line="360" w:lineRule="auto"/>
                    <w:contextualSpacing/>
                    <w:jc w:val="center"/>
                    <w:rPr>
                      <w:bCs/>
                    </w:rPr>
                  </w:pPr>
                  <w:r w:rsidRPr="00630B95">
                    <w:rPr>
                      <w:b/>
                      <w:bCs/>
                    </w:rPr>
                    <w:t>Žema</w:t>
                  </w:r>
                </w:p>
              </w:tc>
              <w:tc>
                <w:tcPr>
                  <w:tcW w:w="839" w:type="dxa"/>
                  <w:vAlign w:val="center"/>
                </w:tcPr>
                <w:p w14:paraId="7EC9176F" w14:textId="77777777" w:rsidR="00B45433" w:rsidRPr="00630B95" w:rsidRDefault="00B45433" w:rsidP="00B45433">
                  <w:pPr>
                    <w:spacing w:line="360" w:lineRule="auto"/>
                    <w:contextualSpacing/>
                    <w:jc w:val="center"/>
                    <w:rPr>
                      <w:bCs/>
                    </w:rPr>
                  </w:pPr>
                  <w:r w:rsidRPr="00630B95">
                    <w:rPr>
                      <w:b/>
                      <w:bCs/>
                    </w:rPr>
                    <w:t>Vidutinė</w:t>
                  </w:r>
                </w:p>
              </w:tc>
              <w:tc>
                <w:tcPr>
                  <w:tcW w:w="950" w:type="dxa"/>
                  <w:vAlign w:val="center"/>
                </w:tcPr>
                <w:p w14:paraId="0394FAFC" w14:textId="77777777" w:rsidR="00B45433" w:rsidRPr="00630B95" w:rsidRDefault="00B45433" w:rsidP="00B45433">
                  <w:pPr>
                    <w:spacing w:line="360" w:lineRule="auto"/>
                    <w:contextualSpacing/>
                    <w:jc w:val="center"/>
                    <w:rPr>
                      <w:bCs/>
                    </w:rPr>
                  </w:pPr>
                  <w:r w:rsidRPr="00630B95">
                    <w:rPr>
                      <w:b/>
                      <w:bCs/>
                    </w:rPr>
                    <w:t>Aukšta</w:t>
                  </w:r>
                </w:p>
              </w:tc>
              <w:tc>
                <w:tcPr>
                  <w:tcW w:w="1046" w:type="dxa"/>
                  <w:vAlign w:val="center"/>
                </w:tcPr>
                <w:p w14:paraId="056D47D4" w14:textId="77777777" w:rsidR="00B45433" w:rsidRPr="00630B95" w:rsidRDefault="00B45433" w:rsidP="00B45433">
                  <w:pPr>
                    <w:spacing w:line="360" w:lineRule="auto"/>
                    <w:contextualSpacing/>
                    <w:jc w:val="center"/>
                    <w:rPr>
                      <w:bCs/>
                    </w:rPr>
                  </w:pPr>
                  <w:r w:rsidRPr="00630B95">
                    <w:rPr>
                      <w:b/>
                      <w:bCs/>
                    </w:rPr>
                    <w:t>Labai aukšta</w:t>
                  </w:r>
                </w:p>
              </w:tc>
            </w:tr>
            <w:tr w:rsidR="00B45433" w:rsidRPr="00630B95" w14:paraId="50A0E0B1" w14:textId="77777777" w:rsidTr="00B45433">
              <w:trPr>
                <w:trHeight w:val="520"/>
              </w:trPr>
              <w:tc>
                <w:tcPr>
                  <w:tcW w:w="1188" w:type="dxa"/>
                  <w:tcBorders>
                    <w:left w:val="nil"/>
                    <w:bottom w:val="nil"/>
                  </w:tcBorders>
                </w:tcPr>
                <w:p w14:paraId="7C9FB255" w14:textId="77777777" w:rsidR="00B45433" w:rsidRPr="00630B95" w:rsidRDefault="00B45433" w:rsidP="00B45433">
                  <w:pPr>
                    <w:spacing w:line="360" w:lineRule="auto"/>
                    <w:contextualSpacing/>
                    <w:jc w:val="both"/>
                    <w:rPr>
                      <w:bCs/>
                    </w:rPr>
                  </w:pPr>
                </w:p>
              </w:tc>
              <w:tc>
                <w:tcPr>
                  <w:tcW w:w="6462" w:type="dxa"/>
                  <w:gridSpan w:val="6"/>
                  <w:shd w:val="clear" w:color="auto" w:fill="D9D9D9" w:themeFill="background1" w:themeFillShade="D9"/>
                </w:tcPr>
                <w:p w14:paraId="1589557A" w14:textId="77777777" w:rsidR="00B45433" w:rsidRPr="00630B95" w:rsidRDefault="00B45433" w:rsidP="00B45433">
                  <w:pPr>
                    <w:spacing w:line="360" w:lineRule="auto"/>
                    <w:contextualSpacing/>
                    <w:jc w:val="center"/>
                    <w:rPr>
                      <w:bCs/>
                      <w:sz w:val="56"/>
                      <w:szCs w:val="56"/>
                    </w:rPr>
                  </w:pPr>
                  <w:r w:rsidRPr="00630B95">
                    <w:rPr>
                      <w:bCs/>
                      <w:sz w:val="56"/>
                      <w:szCs w:val="56"/>
                    </w:rPr>
                    <w:t>TIKIMYBĖ</w:t>
                  </w:r>
                </w:p>
              </w:tc>
            </w:tr>
          </w:tbl>
          <w:p w14:paraId="3BA44FC8" w14:textId="77777777" w:rsidR="00B45433" w:rsidRDefault="00B45433" w:rsidP="008C7C9A">
            <w:pPr>
              <w:jc w:val="center"/>
              <w:rPr>
                <w:b/>
                <w:sz w:val="28"/>
                <w:szCs w:val="28"/>
              </w:rPr>
            </w:pPr>
          </w:p>
          <w:p w14:paraId="68EE76E8" w14:textId="2D92B982" w:rsidR="006211AC" w:rsidRPr="00EF2B0C" w:rsidRDefault="006211AC" w:rsidP="008C7C9A">
            <w:pPr>
              <w:jc w:val="center"/>
              <w:rPr>
                <w:b/>
                <w:color w:val="FF0000"/>
                <w:sz w:val="28"/>
                <w:szCs w:val="28"/>
              </w:rPr>
            </w:pPr>
          </w:p>
        </w:tc>
      </w:tr>
      <w:tr w:rsidR="00BC2A70" w:rsidRPr="004A3362" w14:paraId="53F7CAD7" w14:textId="77777777" w:rsidTr="00FA7102">
        <w:trPr>
          <w:trHeight w:val="698"/>
        </w:trPr>
        <w:tc>
          <w:tcPr>
            <w:tcW w:w="4962" w:type="dxa"/>
            <w:tcBorders>
              <w:right w:val="single" w:sz="4" w:space="0" w:color="auto"/>
            </w:tcBorders>
          </w:tcPr>
          <w:p w14:paraId="73BBF385" w14:textId="6E39E95D" w:rsidR="00494432" w:rsidRDefault="00371A4F" w:rsidP="00494432">
            <w:pPr>
              <w:rPr>
                <w:b/>
                <w:bCs/>
              </w:rPr>
            </w:pPr>
            <w:r>
              <w:rPr>
                <w:b/>
                <w:bCs/>
              </w:rPr>
              <w:lastRenderedPageBreak/>
              <w:t>4</w:t>
            </w:r>
            <w:r w:rsidR="00870FDD">
              <w:rPr>
                <w:b/>
                <w:bCs/>
              </w:rPr>
              <w:t>.1.</w:t>
            </w:r>
            <w:r w:rsidR="00C4087C">
              <w:rPr>
                <w:b/>
                <w:bCs/>
              </w:rPr>
              <w:t xml:space="preserve"> </w:t>
            </w:r>
            <w:r w:rsidR="00494432" w:rsidRPr="00494432">
              <w:rPr>
                <w:b/>
                <w:bCs/>
              </w:rPr>
              <w:t xml:space="preserve">Raudonas </w:t>
            </w:r>
            <w:r w:rsidR="005E538C">
              <w:rPr>
                <w:b/>
                <w:bCs/>
              </w:rPr>
              <w:t>rizikingumo</w:t>
            </w:r>
            <w:r w:rsidR="005E538C" w:rsidRPr="00494432">
              <w:rPr>
                <w:b/>
                <w:bCs/>
              </w:rPr>
              <w:t xml:space="preserve"> </w:t>
            </w:r>
            <w:r w:rsidR="00494432" w:rsidRPr="00494432">
              <w:rPr>
                <w:b/>
                <w:bCs/>
              </w:rPr>
              <w:t>lygis</w:t>
            </w:r>
          </w:p>
          <w:p w14:paraId="074F6819" w14:textId="7EB1AE16" w:rsidR="008C7C9A" w:rsidRPr="00494432" w:rsidRDefault="00494432" w:rsidP="00494432">
            <w:r w:rsidRPr="00494432">
              <w:rPr>
                <w:bCs/>
              </w:rPr>
              <w:t>(žemėjančia tvarka nuo didžiausio balo)</w:t>
            </w:r>
            <w:r w:rsidRPr="00494432">
              <w:t xml:space="preserve"> </w:t>
            </w:r>
          </w:p>
        </w:tc>
        <w:tc>
          <w:tcPr>
            <w:tcW w:w="5245" w:type="dxa"/>
            <w:tcBorders>
              <w:top w:val="single" w:sz="4" w:space="0" w:color="auto"/>
              <w:left w:val="single" w:sz="4" w:space="0" w:color="auto"/>
              <w:bottom w:val="single" w:sz="4" w:space="0" w:color="auto"/>
              <w:right w:val="single" w:sz="4" w:space="0" w:color="auto"/>
            </w:tcBorders>
          </w:tcPr>
          <w:p w14:paraId="0C592BF3" w14:textId="0837194A" w:rsidR="0095579E" w:rsidRPr="00F309B3" w:rsidRDefault="000E7322" w:rsidP="00271870">
            <w:pPr>
              <w:tabs>
                <w:tab w:val="left" w:pos="851"/>
              </w:tabs>
              <w:jc w:val="both"/>
              <w:rPr>
                <w:b/>
                <w:i/>
                <w:sz w:val="22"/>
                <w:szCs w:val="20"/>
              </w:rPr>
            </w:pPr>
            <w:r>
              <w:t xml:space="preserve">Korupcijos pasireiškimo tikimybės nustatymo metu </w:t>
            </w:r>
            <w:r w:rsidR="003D40D5">
              <w:t>N</w:t>
            </w:r>
            <w:r w:rsidRPr="000E7322">
              <w:t>enaudojamas VNT nuom</w:t>
            </w:r>
            <w:r w:rsidR="003D40D5">
              <w:t>os</w:t>
            </w:r>
            <w:r w:rsidRPr="000E7322">
              <w:t xml:space="preserve"> </w:t>
            </w:r>
            <w:r>
              <w:t>srityje raudono rizikingumo lygio rizikų nenustatyta.</w:t>
            </w:r>
          </w:p>
        </w:tc>
      </w:tr>
      <w:tr w:rsidR="00494432" w:rsidRPr="004A3362" w14:paraId="44EC5279" w14:textId="77777777" w:rsidTr="00FA7102">
        <w:trPr>
          <w:trHeight w:val="698"/>
        </w:trPr>
        <w:tc>
          <w:tcPr>
            <w:tcW w:w="4962" w:type="dxa"/>
            <w:tcBorders>
              <w:right w:val="single" w:sz="4" w:space="0" w:color="auto"/>
            </w:tcBorders>
          </w:tcPr>
          <w:p w14:paraId="67E0D4D1" w14:textId="1CDBA6CA" w:rsidR="00494432" w:rsidRPr="00494432" w:rsidRDefault="00371A4F" w:rsidP="00494432">
            <w:pPr>
              <w:rPr>
                <w:b/>
                <w:bCs/>
              </w:rPr>
            </w:pPr>
            <w:r>
              <w:rPr>
                <w:b/>
                <w:bCs/>
              </w:rPr>
              <w:t>4</w:t>
            </w:r>
            <w:r w:rsidR="00870FDD">
              <w:rPr>
                <w:b/>
                <w:bCs/>
              </w:rPr>
              <w:t>.2.</w:t>
            </w:r>
            <w:r w:rsidR="00C4087C">
              <w:rPr>
                <w:b/>
                <w:bCs/>
              </w:rPr>
              <w:t xml:space="preserve"> </w:t>
            </w:r>
            <w:r w:rsidR="00494432">
              <w:rPr>
                <w:b/>
                <w:bCs/>
              </w:rPr>
              <w:t>Geltonas</w:t>
            </w:r>
            <w:r w:rsidR="00494432" w:rsidRPr="00494432">
              <w:rPr>
                <w:b/>
                <w:bCs/>
              </w:rPr>
              <w:t xml:space="preserve"> </w:t>
            </w:r>
            <w:r w:rsidR="005E538C">
              <w:rPr>
                <w:b/>
                <w:bCs/>
              </w:rPr>
              <w:t>rizikingumo</w:t>
            </w:r>
            <w:r w:rsidR="00494432" w:rsidRPr="00494432">
              <w:rPr>
                <w:b/>
                <w:bCs/>
              </w:rPr>
              <w:t xml:space="preserve"> lygis</w:t>
            </w:r>
            <w:r w:rsidR="00494432" w:rsidRPr="00494432">
              <w:rPr>
                <w:b/>
              </w:rPr>
              <w:t xml:space="preserve"> </w:t>
            </w:r>
            <w:r w:rsidR="00494432" w:rsidRPr="00494432">
              <w:rPr>
                <w:bCs/>
              </w:rPr>
              <w:t>(žemėjančia tvarka nuo didžiausio balo)</w:t>
            </w:r>
          </w:p>
        </w:tc>
        <w:tc>
          <w:tcPr>
            <w:tcW w:w="5245" w:type="dxa"/>
            <w:tcBorders>
              <w:top w:val="single" w:sz="4" w:space="0" w:color="auto"/>
              <w:left w:val="single" w:sz="4" w:space="0" w:color="auto"/>
              <w:bottom w:val="single" w:sz="4" w:space="0" w:color="auto"/>
              <w:right w:val="single" w:sz="4" w:space="0" w:color="auto"/>
            </w:tcBorders>
          </w:tcPr>
          <w:p w14:paraId="2AE7B41D" w14:textId="29F2042F" w:rsidR="000C360E" w:rsidRDefault="006F31FE" w:rsidP="00494432">
            <w:pPr>
              <w:tabs>
                <w:tab w:val="left" w:pos="851"/>
              </w:tabs>
              <w:jc w:val="both"/>
              <w:rPr>
                <w:b/>
                <w:i/>
                <w:sz w:val="22"/>
                <w:szCs w:val="20"/>
              </w:rPr>
            </w:pPr>
            <w:r w:rsidRPr="009234AA">
              <w:rPr>
                <w:b/>
                <w:bCs/>
                <w:i/>
              </w:rPr>
              <w:t>R</w:t>
            </w:r>
            <w:r w:rsidR="00D73125">
              <w:rPr>
                <w:b/>
                <w:bCs/>
                <w:i/>
                <w:vertAlign w:val="subscript"/>
              </w:rPr>
              <w:t>4</w:t>
            </w:r>
            <w:r w:rsidR="00FD0E42">
              <w:rPr>
                <w:b/>
                <w:bCs/>
                <w:i/>
                <w:vertAlign w:val="subscript"/>
              </w:rPr>
              <w:t xml:space="preserve"> </w:t>
            </w:r>
            <w:r w:rsidR="000311A3" w:rsidRPr="000311A3">
              <w:rPr>
                <w:b/>
                <w:i/>
                <w:sz w:val="22"/>
                <w:szCs w:val="20"/>
              </w:rPr>
              <w:t>Galimybė priimti subjektyvų, suinteresuotoms šalims palankų sprendimą, fiksuojant ar nefiksuojant Turto banko patikėjimo teise valdomo nekilnojamojo turto naudojamo be nuomos sutarties faktinio naudojimo atvejus.</w:t>
            </w:r>
          </w:p>
          <w:p w14:paraId="0115687D" w14:textId="77777777" w:rsidR="008C5598" w:rsidRPr="009C72A3" w:rsidRDefault="0051366D" w:rsidP="00494432">
            <w:pPr>
              <w:tabs>
                <w:tab w:val="left" w:pos="851"/>
              </w:tabs>
              <w:jc w:val="both"/>
              <w:rPr>
                <w:b/>
                <w:iCs/>
                <w:sz w:val="22"/>
                <w:szCs w:val="22"/>
              </w:rPr>
            </w:pPr>
            <w:r w:rsidRPr="009C72A3">
              <w:rPr>
                <w:bCs/>
                <w:iCs/>
                <w:sz w:val="22"/>
                <w:szCs w:val="22"/>
              </w:rPr>
              <w:t>P=3; T=5. Rizikos lygis: R=</w:t>
            </w:r>
            <w:proofErr w:type="spellStart"/>
            <w:r w:rsidRPr="009C72A3">
              <w:rPr>
                <w:bCs/>
                <w:iCs/>
                <w:sz w:val="22"/>
                <w:szCs w:val="22"/>
              </w:rPr>
              <w:t>TxP</w:t>
            </w:r>
            <w:proofErr w:type="spellEnd"/>
            <w:r w:rsidRPr="009C72A3">
              <w:rPr>
                <w:bCs/>
                <w:iCs/>
                <w:sz w:val="22"/>
                <w:szCs w:val="22"/>
              </w:rPr>
              <w:t>;</w:t>
            </w:r>
            <w:r w:rsidRPr="009C72A3">
              <w:rPr>
                <w:b/>
                <w:iCs/>
                <w:sz w:val="22"/>
                <w:szCs w:val="22"/>
              </w:rPr>
              <w:t xml:space="preserve"> R</w:t>
            </w:r>
            <w:r w:rsidRPr="009C72A3">
              <w:rPr>
                <w:b/>
                <w:iCs/>
                <w:sz w:val="22"/>
                <w:szCs w:val="22"/>
                <w:vertAlign w:val="subscript"/>
              </w:rPr>
              <w:t>4</w:t>
            </w:r>
            <w:r w:rsidRPr="009C72A3">
              <w:rPr>
                <w:b/>
                <w:iCs/>
                <w:sz w:val="22"/>
                <w:szCs w:val="22"/>
              </w:rPr>
              <w:t>=15</w:t>
            </w:r>
          </w:p>
          <w:p w14:paraId="2D56383C" w14:textId="3D1F1158" w:rsidR="008C5598" w:rsidRPr="009C72A3" w:rsidRDefault="008C5598" w:rsidP="008C5598">
            <w:pPr>
              <w:tabs>
                <w:tab w:val="left" w:pos="884"/>
              </w:tabs>
              <w:spacing w:line="276" w:lineRule="auto"/>
              <w:ind w:firstLine="851"/>
              <w:jc w:val="both"/>
              <w:rPr>
                <w:bCs/>
                <w:sz w:val="22"/>
                <w:szCs w:val="22"/>
              </w:rPr>
            </w:pPr>
            <w:r w:rsidRPr="009C72A3">
              <w:rPr>
                <w:bCs/>
                <w:spacing w:val="-2"/>
                <w:sz w:val="22"/>
                <w:szCs w:val="22"/>
              </w:rPr>
              <w:t xml:space="preserve">Rizikos </w:t>
            </w:r>
            <w:r w:rsidR="009C72A3" w:rsidRPr="009C72A3">
              <w:rPr>
                <w:bCs/>
                <w:iCs/>
                <w:sz w:val="22"/>
                <w:szCs w:val="22"/>
              </w:rPr>
              <w:t>R</w:t>
            </w:r>
            <w:r w:rsidR="009C72A3" w:rsidRPr="009C72A3">
              <w:rPr>
                <w:bCs/>
                <w:iCs/>
                <w:sz w:val="22"/>
                <w:szCs w:val="22"/>
                <w:vertAlign w:val="subscript"/>
              </w:rPr>
              <w:t>4</w:t>
            </w:r>
            <w:r w:rsidRPr="009C72A3">
              <w:rPr>
                <w:bCs/>
                <w:spacing w:val="-2"/>
                <w:sz w:val="22"/>
                <w:szCs w:val="22"/>
              </w:rPr>
              <w:t xml:space="preserve"> galimo (hipotetinio) lygio poveikis (P</w:t>
            </w:r>
            <w:r w:rsidR="009C72A3">
              <w:rPr>
                <w:bCs/>
                <w:spacing w:val="-2"/>
                <w:sz w:val="22"/>
                <w:szCs w:val="22"/>
              </w:rPr>
              <w:t>4</w:t>
            </w:r>
            <w:r w:rsidRPr="009C72A3">
              <w:rPr>
                <w:bCs/>
                <w:spacing w:val="-2"/>
                <w:sz w:val="22"/>
                <w:szCs w:val="22"/>
              </w:rPr>
              <w:t>) -  vertinama 3 lygiu (Pastebimas), nes atlikus pateiktų poveikio kriterijų, kurie nusako konkrečios rizikos sukeltą arba galimą (hipotetinį) neigiamą poveikį viešojo sektoriaus subjekto veiklai, reputacijai, pasitikėjimui juo, finansinius nuostolius (negautas pajamas)  ir t. t., analizę, nustatyta, kad gali būti p</w:t>
            </w:r>
            <w:r w:rsidRPr="009C72A3">
              <w:rPr>
                <w:bCs/>
                <w:sz w:val="22"/>
                <w:szCs w:val="22"/>
              </w:rPr>
              <w:t>aveikiama viešojo sektoriaus subjekto veikla – skiriama daugiau nei įprastai laiko ir priemonių skundams nagrinėti, aiškinti įvykių aplinkybėms, galimi kitų institucijų paklausimai apie konkrečius atvejus.</w:t>
            </w:r>
          </w:p>
          <w:p w14:paraId="4C3167DE" w14:textId="77777777" w:rsidR="0024153C" w:rsidRDefault="009C72A3" w:rsidP="002033D0">
            <w:pPr>
              <w:spacing w:after="160" w:line="259" w:lineRule="auto"/>
              <w:ind w:firstLine="851"/>
              <w:jc w:val="both"/>
              <w:rPr>
                <w:sz w:val="22"/>
                <w:szCs w:val="22"/>
              </w:rPr>
            </w:pPr>
            <w:r w:rsidRPr="009C72A3">
              <w:rPr>
                <w:bCs/>
                <w:spacing w:val="-2"/>
                <w:sz w:val="22"/>
                <w:szCs w:val="22"/>
              </w:rPr>
              <w:t xml:space="preserve">Rizikos </w:t>
            </w:r>
            <w:r w:rsidRPr="009C72A3">
              <w:rPr>
                <w:bCs/>
                <w:iCs/>
                <w:sz w:val="22"/>
                <w:szCs w:val="22"/>
              </w:rPr>
              <w:t>R</w:t>
            </w:r>
            <w:r w:rsidRPr="009C72A3">
              <w:rPr>
                <w:bCs/>
                <w:iCs/>
                <w:sz w:val="22"/>
                <w:szCs w:val="22"/>
                <w:vertAlign w:val="subscript"/>
              </w:rPr>
              <w:t>4</w:t>
            </w:r>
            <w:r w:rsidRPr="009C72A3">
              <w:rPr>
                <w:bCs/>
                <w:spacing w:val="-2"/>
                <w:sz w:val="22"/>
                <w:szCs w:val="22"/>
              </w:rPr>
              <w:t xml:space="preserve"> </w:t>
            </w:r>
            <w:r w:rsidRPr="009C72A3">
              <w:rPr>
                <w:sz w:val="22"/>
                <w:szCs w:val="22"/>
              </w:rPr>
              <w:t>Tikimybė (T</w:t>
            </w:r>
            <w:r>
              <w:rPr>
                <w:sz w:val="22"/>
                <w:szCs w:val="22"/>
              </w:rPr>
              <w:t>4</w:t>
            </w:r>
            <w:r w:rsidRPr="009C72A3">
              <w:rPr>
                <w:sz w:val="22"/>
                <w:szCs w:val="22"/>
              </w:rPr>
              <w:t xml:space="preserve">) vertinama </w:t>
            </w:r>
            <w:r w:rsidR="0024153C">
              <w:rPr>
                <w:sz w:val="22"/>
                <w:szCs w:val="22"/>
              </w:rPr>
              <w:t>5</w:t>
            </w:r>
            <w:r w:rsidRPr="009C72A3">
              <w:rPr>
                <w:sz w:val="22"/>
                <w:szCs w:val="22"/>
              </w:rPr>
              <w:t xml:space="preserve"> lygiu (Labai aukštas), nors analizuojamu laikotarpiu Turto banko veiklos srityje ir nebuvo nustatyta, kad neteisėto naudojimo atvejai buvo susiję su korupcinėmis apraiškomis, tačiau metinių inventorizacijos metu buvo nustatomi daugiau nei trys neteisėto turto naudojimo atvejai, kurie gali būti siejami su netinkamai vykdyta kontrole, kas atitinka situaciją, kai „yra  3 ir daugiau atvejų per metus subjektuose, kuriuose dirba nuo 101 iki 500 darbuotojų“.</w:t>
            </w:r>
          </w:p>
          <w:p w14:paraId="37514C63" w14:textId="274C204D" w:rsidR="002033D0" w:rsidRPr="00A06B31" w:rsidRDefault="007F1C62" w:rsidP="00A06B31">
            <w:pPr>
              <w:spacing w:after="160" w:line="259" w:lineRule="auto"/>
              <w:jc w:val="both"/>
              <w:rPr>
                <w:sz w:val="22"/>
                <w:szCs w:val="22"/>
              </w:rPr>
            </w:pPr>
            <w:r>
              <w:rPr>
                <w:sz w:val="22"/>
                <w:szCs w:val="22"/>
              </w:rPr>
              <w:lastRenderedPageBreak/>
              <w:t>Papildomi duomenys ir (ar) informacija</w:t>
            </w:r>
            <w:r w:rsidR="00053816">
              <w:rPr>
                <w:sz w:val="22"/>
                <w:szCs w:val="22"/>
              </w:rPr>
              <w:t>, kodėl skirti t</w:t>
            </w:r>
            <w:r w:rsidR="002E0320">
              <w:rPr>
                <w:sz w:val="22"/>
                <w:szCs w:val="22"/>
              </w:rPr>
              <w:t xml:space="preserve">okie tikimybės ir poveikio balai yra pateikiami </w:t>
            </w:r>
            <w:r w:rsidR="002F0AAD">
              <w:rPr>
                <w:sz w:val="22"/>
                <w:szCs w:val="22"/>
              </w:rPr>
              <w:t xml:space="preserve">šios </w:t>
            </w:r>
            <w:r w:rsidR="009F12B3">
              <w:rPr>
                <w:sz w:val="22"/>
                <w:szCs w:val="22"/>
              </w:rPr>
              <w:t>i</w:t>
            </w:r>
            <w:r w:rsidR="002F0AAD">
              <w:rPr>
                <w:sz w:val="22"/>
                <w:szCs w:val="22"/>
              </w:rPr>
              <w:t xml:space="preserve">švados </w:t>
            </w:r>
            <w:r w:rsidR="002033D0" w:rsidRPr="00A06B31">
              <w:rPr>
                <w:sz w:val="22"/>
                <w:szCs w:val="22"/>
              </w:rPr>
              <w:t xml:space="preserve"> 1 priedo </w:t>
            </w:r>
            <w:r w:rsidR="00CA601F" w:rsidRPr="00A06B31">
              <w:rPr>
                <w:sz w:val="22"/>
                <w:szCs w:val="22"/>
              </w:rPr>
              <w:t>9</w:t>
            </w:r>
            <w:r w:rsidR="002F0AAD">
              <w:rPr>
                <w:sz w:val="22"/>
                <w:szCs w:val="22"/>
              </w:rPr>
              <w:t>.</w:t>
            </w:r>
            <w:r w:rsidR="00CA601F" w:rsidRPr="00A06B31">
              <w:rPr>
                <w:sz w:val="22"/>
                <w:szCs w:val="22"/>
              </w:rPr>
              <w:t>5</w:t>
            </w:r>
            <w:r w:rsidR="002F0AAD">
              <w:rPr>
                <w:sz w:val="22"/>
                <w:szCs w:val="22"/>
              </w:rPr>
              <w:t>.</w:t>
            </w:r>
            <w:r w:rsidR="00CA601F" w:rsidRPr="00A06B31">
              <w:rPr>
                <w:sz w:val="22"/>
                <w:szCs w:val="22"/>
              </w:rPr>
              <w:t xml:space="preserve"> punkte</w:t>
            </w:r>
            <w:r w:rsidR="002F0AAD">
              <w:rPr>
                <w:sz w:val="22"/>
                <w:szCs w:val="22"/>
              </w:rPr>
              <w:t>.</w:t>
            </w:r>
          </w:p>
        </w:tc>
      </w:tr>
      <w:tr w:rsidR="00494432" w:rsidRPr="004A3362" w14:paraId="0A1B0E6F" w14:textId="77777777" w:rsidTr="00FA7102">
        <w:trPr>
          <w:trHeight w:val="698"/>
        </w:trPr>
        <w:tc>
          <w:tcPr>
            <w:tcW w:w="4962" w:type="dxa"/>
            <w:tcBorders>
              <w:right w:val="single" w:sz="4" w:space="0" w:color="auto"/>
            </w:tcBorders>
          </w:tcPr>
          <w:p w14:paraId="73CA656F" w14:textId="00F3BDE6" w:rsidR="00494432" w:rsidRDefault="00371A4F" w:rsidP="00494432">
            <w:pPr>
              <w:rPr>
                <w:b/>
                <w:bCs/>
              </w:rPr>
            </w:pPr>
            <w:r>
              <w:rPr>
                <w:b/>
                <w:bCs/>
              </w:rPr>
              <w:lastRenderedPageBreak/>
              <w:t>4</w:t>
            </w:r>
            <w:r w:rsidR="00870FDD">
              <w:rPr>
                <w:b/>
                <w:bCs/>
              </w:rPr>
              <w:t>.3.</w:t>
            </w:r>
            <w:r w:rsidR="00C4087C">
              <w:rPr>
                <w:b/>
                <w:bCs/>
              </w:rPr>
              <w:t xml:space="preserve"> </w:t>
            </w:r>
            <w:r w:rsidR="00494432">
              <w:rPr>
                <w:b/>
                <w:bCs/>
              </w:rPr>
              <w:t xml:space="preserve">Žalias </w:t>
            </w:r>
            <w:r w:rsidR="005E538C">
              <w:rPr>
                <w:b/>
                <w:bCs/>
              </w:rPr>
              <w:t>rizikingumo</w:t>
            </w:r>
            <w:r w:rsidR="00494432">
              <w:rPr>
                <w:b/>
                <w:bCs/>
              </w:rPr>
              <w:t xml:space="preserve"> lygis </w:t>
            </w:r>
            <w:r w:rsidR="00494432" w:rsidRPr="00494432">
              <w:rPr>
                <w:bCs/>
              </w:rPr>
              <w:t>(žemėjančia tvarka nuo didžiausio balo)</w:t>
            </w:r>
          </w:p>
        </w:tc>
        <w:tc>
          <w:tcPr>
            <w:tcW w:w="5245" w:type="dxa"/>
            <w:tcBorders>
              <w:top w:val="single" w:sz="4" w:space="0" w:color="auto"/>
              <w:left w:val="single" w:sz="4" w:space="0" w:color="auto"/>
              <w:bottom w:val="single" w:sz="4" w:space="0" w:color="auto"/>
              <w:right w:val="single" w:sz="4" w:space="0" w:color="auto"/>
            </w:tcBorders>
          </w:tcPr>
          <w:p w14:paraId="37351C3A" w14:textId="77777777" w:rsidR="001D3894" w:rsidRDefault="00A36B9E" w:rsidP="001D3894">
            <w:pPr>
              <w:spacing w:after="160" w:line="259" w:lineRule="auto"/>
              <w:ind w:left="33"/>
              <w:jc w:val="both"/>
              <w:rPr>
                <w:b/>
                <w:bCs/>
                <w:sz w:val="22"/>
                <w:szCs w:val="22"/>
                <w:lang w:eastAsia="lt-LT"/>
              </w:rPr>
            </w:pPr>
            <w:r w:rsidRPr="009234AA">
              <w:rPr>
                <w:b/>
                <w:bCs/>
                <w:i/>
              </w:rPr>
              <w:t>R</w:t>
            </w:r>
            <w:r w:rsidRPr="009234AA">
              <w:rPr>
                <w:b/>
                <w:bCs/>
                <w:i/>
                <w:vertAlign w:val="subscript"/>
              </w:rPr>
              <w:t>1</w:t>
            </w:r>
            <w:r w:rsidR="001D3894">
              <w:rPr>
                <w:b/>
                <w:bCs/>
                <w:i/>
                <w:vertAlign w:val="subscript"/>
              </w:rPr>
              <w:t xml:space="preserve"> </w:t>
            </w:r>
            <w:r w:rsidR="001D3894" w:rsidRPr="001D3894">
              <w:rPr>
                <w:b/>
                <w:bCs/>
                <w:sz w:val="22"/>
                <w:szCs w:val="22"/>
                <w:lang w:eastAsia="lt-LT"/>
              </w:rPr>
              <w:t>Galimybė priimti neobjektyvius sprendimus, įtraukiant arba neįtraukiant patalpas į nuomotinų objektų sąrašą.</w:t>
            </w:r>
          </w:p>
          <w:p w14:paraId="34E0B261" w14:textId="2B280669" w:rsidR="00A21C43" w:rsidRDefault="00A21C43" w:rsidP="001D3894">
            <w:pPr>
              <w:spacing w:after="160" w:line="259" w:lineRule="auto"/>
              <w:ind w:left="33"/>
              <w:jc w:val="both"/>
              <w:rPr>
                <w:b/>
                <w:spacing w:val="-2"/>
              </w:rPr>
            </w:pPr>
            <w:r w:rsidRPr="00E10535">
              <w:rPr>
                <w:bCs/>
                <w:spacing w:val="-2"/>
              </w:rPr>
              <w:t>P=3; T=</w:t>
            </w:r>
            <w:r>
              <w:rPr>
                <w:bCs/>
                <w:spacing w:val="-2"/>
              </w:rPr>
              <w:t>1</w:t>
            </w:r>
            <w:r w:rsidRPr="00E10535">
              <w:rPr>
                <w:bCs/>
                <w:spacing w:val="-2"/>
              </w:rPr>
              <w:t>. Rizikos lygis: R=</w:t>
            </w:r>
            <w:proofErr w:type="spellStart"/>
            <w:r w:rsidRPr="00E10535">
              <w:rPr>
                <w:bCs/>
                <w:spacing w:val="-2"/>
              </w:rPr>
              <w:t>TxP</w:t>
            </w:r>
            <w:proofErr w:type="spellEnd"/>
            <w:r w:rsidRPr="00E10535">
              <w:rPr>
                <w:bCs/>
                <w:spacing w:val="-2"/>
              </w:rPr>
              <w:t xml:space="preserve">; </w:t>
            </w:r>
            <w:r w:rsidRPr="00CA0295">
              <w:rPr>
                <w:b/>
                <w:spacing w:val="-2"/>
              </w:rPr>
              <w:t>R</w:t>
            </w:r>
            <w:r w:rsidRPr="00D73D5B">
              <w:rPr>
                <w:b/>
                <w:spacing w:val="-2"/>
                <w:vertAlign w:val="subscript"/>
              </w:rPr>
              <w:t>1</w:t>
            </w:r>
            <w:r w:rsidRPr="00CA0295">
              <w:rPr>
                <w:b/>
                <w:spacing w:val="-2"/>
              </w:rPr>
              <w:t>=3</w:t>
            </w:r>
          </w:p>
          <w:p w14:paraId="193908A7" w14:textId="77777777" w:rsidR="009F12B3" w:rsidRDefault="00BA053F" w:rsidP="00BA053F">
            <w:pPr>
              <w:spacing w:after="160" w:line="259" w:lineRule="auto"/>
              <w:jc w:val="both"/>
              <w:rPr>
                <w:iCs/>
                <w:sz w:val="22"/>
                <w:szCs w:val="22"/>
                <w:lang w:eastAsia="lt-LT"/>
              </w:rPr>
            </w:pPr>
            <w:r w:rsidRPr="00BA053F">
              <w:rPr>
                <w:iCs/>
                <w:sz w:val="22"/>
                <w:szCs w:val="22"/>
                <w:lang w:eastAsia="lt-LT"/>
              </w:rPr>
              <w:t xml:space="preserve">Rizikos </w:t>
            </w:r>
            <w:r w:rsidRPr="00BA053F">
              <w:rPr>
                <w:iCs/>
              </w:rPr>
              <w:t>R</w:t>
            </w:r>
            <w:r w:rsidRPr="00BA053F">
              <w:rPr>
                <w:iCs/>
                <w:vertAlign w:val="subscript"/>
              </w:rPr>
              <w:t>1</w:t>
            </w:r>
            <w:r w:rsidRPr="00BA053F">
              <w:rPr>
                <w:iCs/>
                <w:sz w:val="22"/>
                <w:szCs w:val="22"/>
                <w:lang w:eastAsia="lt-LT"/>
              </w:rPr>
              <w:t xml:space="preserve"> galimo (hipotetinio) lygio poveikis (P</w:t>
            </w:r>
            <w:r w:rsidRPr="00CC4707">
              <w:rPr>
                <w:iCs/>
                <w:sz w:val="22"/>
                <w:szCs w:val="22"/>
                <w:vertAlign w:val="subscript"/>
                <w:lang w:eastAsia="lt-LT"/>
              </w:rPr>
              <w:t>1</w:t>
            </w:r>
            <w:r w:rsidRPr="00BA053F">
              <w:rPr>
                <w:iCs/>
                <w:sz w:val="22"/>
                <w:szCs w:val="22"/>
                <w:lang w:eastAsia="lt-LT"/>
              </w:rPr>
              <w:t>) -  vertinama 3 lygiu (pastebimas lygis), nes atlikus pateiktų poveikio kriterijų, kurie nusako konkrečios rizikos sukeltą arba galimą (hipotetinį) neigiamą poveikį viešojo sektoriaus subjekto veiklai, reputacijai, pasitikėjimui juo, finansinius nuostolius (negautas pajamas)  ir t. t., analizę, nustatyta, kad gali būti gaunami kitų institucijų, pvz.,  LR specialiųjų tyrimų tarnybos, paklausimai apie konkrečius atvejus ar situacijas apie galimas korupcijos apraiškas (rizikas) arba kontrolės veiksmų metu nustatytas ydingas situacijas.</w:t>
            </w:r>
          </w:p>
          <w:p w14:paraId="1F0965FE" w14:textId="77777777" w:rsidR="009F12B3" w:rsidRDefault="00BA053F" w:rsidP="009F12B3">
            <w:pPr>
              <w:spacing w:after="160" w:line="259" w:lineRule="auto"/>
              <w:jc w:val="both"/>
              <w:rPr>
                <w:iCs/>
                <w:sz w:val="22"/>
                <w:szCs w:val="22"/>
                <w:lang w:eastAsia="lt-LT"/>
              </w:rPr>
            </w:pPr>
            <w:r w:rsidRPr="00BA053F">
              <w:rPr>
                <w:iCs/>
                <w:sz w:val="22"/>
                <w:szCs w:val="22"/>
                <w:lang w:eastAsia="lt-LT"/>
              </w:rPr>
              <w:t xml:space="preserve">Rizikos </w:t>
            </w:r>
            <w:r w:rsidRPr="00BA053F">
              <w:rPr>
                <w:iCs/>
              </w:rPr>
              <w:t>R</w:t>
            </w:r>
            <w:r w:rsidRPr="00BA053F">
              <w:rPr>
                <w:iCs/>
                <w:vertAlign w:val="subscript"/>
              </w:rPr>
              <w:t>1</w:t>
            </w:r>
            <w:r w:rsidRPr="00BA053F">
              <w:rPr>
                <w:iCs/>
                <w:sz w:val="22"/>
                <w:szCs w:val="22"/>
                <w:lang w:eastAsia="lt-LT"/>
              </w:rPr>
              <w:t xml:space="preserve"> Tikimybė (T</w:t>
            </w:r>
            <w:r w:rsidRPr="00CC4707">
              <w:rPr>
                <w:iCs/>
                <w:sz w:val="22"/>
                <w:szCs w:val="22"/>
                <w:vertAlign w:val="subscript"/>
                <w:lang w:eastAsia="lt-LT"/>
              </w:rPr>
              <w:t>1</w:t>
            </w:r>
            <w:r w:rsidRPr="00BA053F">
              <w:rPr>
                <w:iCs/>
                <w:sz w:val="22"/>
                <w:szCs w:val="22"/>
                <w:lang w:eastAsia="lt-LT"/>
              </w:rPr>
              <w:t>) vertinama 1 lygiu (labai žemas), nes analizuojamu laikotarpiu Turto banko veiklos srityje nebuvo nustatyta galimų interesų konfliktų, kas atitinka situaciją , kai „yra  0 atvejų per metus subjektuose, kuriuose dirba nuo 1 iki 1 000 darbuotojų“.</w:t>
            </w:r>
          </w:p>
          <w:p w14:paraId="71D31051" w14:textId="77777777" w:rsidR="00494432" w:rsidRDefault="009F12B3" w:rsidP="009F12B3">
            <w:pPr>
              <w:spacing w:after="160" w:line="259" w:lineRule="auto"/>
              <w:jc w:val="both"/>
              <w:rPr>
                <w:b/>
                <w:bCs/>
                <w:i/>
                <w:vertAlign w:val="subscript"/>
              </w:rPr>
            </w:pPr>
            <w:r>
              <w:rPr>
                <w:sz w:val="22"/>
                <w:szCs w:val="22"/>
              </w:rPr>
              <w:t xml:space="preserve">Papildomi duomenys ir (ar) informacija, kodėl skirti tokie tikimybės ir poveikio balai yra pateikiami šios išvados </w:t>
            </w:r>
            <w:r w:rsidRPr="00A06B31">
              <w:rPr>
                <w:sz w:val="22"/>
                <w:szCs w:val="22"/>
              </w:rPr>
              <w:t xml:space="preserve"> 1 priedo 9</w:t>
            </w:r>
            <w:r>
              <w:rPr>
                <w:sz w:val="22"/>
                <w:szCs w:val="22"/>
              </w:rPr>
              <w:t>.</w:t>
            </w:r>
            <w:r w:rsidR="00456820">
              <w:rPr>
                <w:sz w:val="22"/>
                <w:szCs w:val="22"/>
              </w:rPr>
              <w:t>1</w:t>
            </w:r>
            <w:r>
              <w:rPr>
                <w:sz w:val="22"/>
                <w:szCs w:val="22"/>
              </w:rPr>
              <w:t>.</w:t>
            </w:r>
            <w:r w:rsidRPr="00A06B31">
              <w:rPr>
                <w:sz w:val="22"/>
                <w:szCs w:val="22"/>
              </w:rPr>
              <w:t xml:space="preserve"> punkte</w:t>
            </w:r>
            <w:r>
              <w:rPr>
                <w:sz w:val="22"/>
                <w:szCs w:val="22"/>
              </w:rPr>
              <w:t>.</w:t>
            </w:r>
            <w:r w:rsidR="0062242F">
              <w:rPr>
                <w:b/>
                <w:bCs/>
                <w:i/>
                <w:vertAlign w:val="subscript"/>
              </w:rPr>
              <w:t xml:space="preserve"> </w:t>
            </w:r>
          </w:p>
          <w:p w14:paraId="0CA59D0A" w14:textId="677CAB78" w:rsidR="00204867" w:rsidRPr="00422CD4" w:rsidRDefault="00204867" w:rsidP="00204867">
            <w:pPr>
              <w:spacing w:after="160" w:line="259" w:lineRule="auto"/>
              <w:jc w:val="both"/>
              <w:rPr>
                <w:b/>
                <w:bCs/>
                <w:sz w:val="22"/>
                <w:szCs w:val="22"/>
              </w:rPr>
            </w:pPr>
            <w:r w:rsidRPr="00422CD4">
              <w:rPr>
                <w:b/>
                <w:bCs/>
                <w:i/>
                <w:iCs/>
                <w:sz w:val="22"/>
                <w:szCs w:val="22"/>
              </w:rPr>
              <w:t>R</w:t>
            </w:r>
            <w:r w:rsidRPr="00422CD4">
              <w:rPr>
                <w:b/>
                <w:bCs/>
                <w:i/>
                <w:iCs/>
                <w:sz w:val="22"/>
                <w:szCs w:val="22"/>
                <w:vertAlign w:val="subscript"/>
              </w:rPr>
              <w:t>2</w:t>
            </w:r>
            <w:r w:rsidRPr="00422CD4">
              <w:rPr>
                <w:b/>
                <w:bCs/>
                <w:sz w:val="22"/>
                <w:szCs w:val="22"/>
              </w:rPr>
              <w:t xml:space="preserve"> Galimybė priimti </w:t>
            </w:r>
            <w:r w:rsidRPr="00422CD4">
              <w:rPr>
                <w:b/>
                <w:bCs/>
                <w:sz w:val="22"/>
                <w:szCs w:val="22"/>
                <w:lang w:eastAsia="lt-LT"/>
              </w:rPr>
              <w:t>subjektyvų, suinteresuotoms šalims palankų sprendimą</w:t>
            </w:r>
            <w:r w:rsidRPr="00422CD4">
              <w:rPr>
                <w:b/>
                <w:bCs/>
                <w:sz w:val="22"/>
                <w:szCs w:val="22"/>
              </w:rPr>
              <w:t>, fiksuojant ar nefiksuojant nuomos sutarties vykdymo pažeidimus.</w:t>
            </w:r>
          </w:p>
          <w:p w14:paraId="124D6160" w14:textId="77777777" w:rsidR="001A07FB" w:rsidRPr="00422CD4" w:rsidRDefault="001A07FB" w:rsidP="001A07FB">
            <w:pPr>
              <w:spacing w:after="160" w:line="259" w:lineRule="auto"/>
              <w:jc w:val="both"/>
              <w:rPr>
                <w:bCs/>
                <w:spacing w:val="-2"/>
              </w:rPr>
            </w:pPr>
            <w:r w:rsidRPr="00422CD4">
              <w:rPr>
                <w:bCs/>
                <w:spacing w:val="-2"/>
              </w:rPr>
              <w:t>P=3; T=1. Rizikos lygis: R=</w:t>
            </w:r>
            <w:proofErr w:type="spellStart"/>
            <w:r w:rsidRPr="00422CD4">
              <w:rPr>
                <w:bCs/>
                <w:spacing w:val="-2"/>
              </w:rPr>
              <w:t>TxP</w:t>
            </w:r>
            <w:proofErr w:type="spellEnd"/>
            <w:r w:rsidRPr="00422CD4">
              <w:rPr>
                <w:bCs/>
                <w:spacing w:val="-2"/>
              </w:rPr>
              <w:t xml:space="preserve">; </w:t>
            </w:r>
            <w:r w:rsidRPr="00422CD4">
              <w:rPr>
                <w:b/>
                <w:spacing w:val="-2"/>
              </w:rPr>
              <w:t>R2=3</w:t>
            </w:r>
            <w:r w:rsidRPr="00422CD4">
              <w:rPr>
                <w:bCs/>
                <w:spacing w:val="-2"/>
              </w:rPr>
              <w:tab/>
            </w:r>
          </w:p>
          <w:p w14:paraId="63390E1B" w14:textId="02FBC34F" w:rsidR="00422CD4" w:rsidRPr="00B9423F" w:rsidRDefault="00422CD4" w:rsidP="00422CD4">
            <w:pPr>
              <w:spacing w:after="160" w:line="259" w:lineRule="auto"/>
              <w:jc w:val="both"/>
              <w:rPr>
                <w:sz w:val="22"/>
                <w:szCs w:val="22"/>
              </w:rPr>
            </w:pPr>
            <w:r w:rsidRPr="00B9423F">
              <w:rPr>
                <w:sz w:val="22"/>
                <w:szCs w:val="22"/>
              </w:rPr>
              <w:t>Rizikos R</w:t>
            </w:r>
            <w:r w:rsidRPr="00B9423F">
              <w:rPr>
                <w:sz w:val="22"/>
                <w:szCs w:val="22"/>
                <w:vertAlign w:val="subscript"/>
              </w:rPr>
              <w:t>2</w:t>
            </w:r>
            <w:r w:rsidRPr="00B9423F">
              <w:rPr>
                <w:sz w:val="22"/>
                <w:szCs w:val="22"/>
              </w:rPr>
              <w:t xml:space="preserve"> galimo (hipotetinio) lygio poveikis (P</w:t>
            </w:r>
            <w:r w:rsidRPr="00CC4707">
              <w:rPr>
                <w:sz w:val="22"/>
                <w:szCs w:val="22"/>
                <w:vertAlign w:val="subscript"/>
              </w:rPr>
              <w:t>2</w:t>
            </w:r>
            <w:r w:rsidRPr="00B9423F">
              <w:rPr>
                <w:sz w:val="22"/>
                <w:szCs w:val="22"/>
              </w:rPr>
              <w:t>) -  vertinama 3 lygiu (pastebimas lygis), nes atlikus pateiktų poveikio kriterijų, kurie nusako konkrečios rizikos sukeltą arba galimą (hipotetinį) neigiamą poveikį viešojo sektoriaus subjekto veiklai, reputacijai, pasitikėjimui juo, finansinius nuostolius (negautas pajamas)  ir t. t., analizę, nustatyta, kad gali būti gaunami fizinių ar juridinių asmenų bei institucijų, pvz.,  LR specialiųjų tyrimų tarnybos, paklausimai apie konkrečius atvejus ar situacijas apie galimas korupcijos apraiškas (rizikas) arba kontrolės veiksmų metu nustatytas ydingas situacijas.</w:t>
            </w:r>
          </w:p>
          <w:p w14:paraId="6B82BBCD" w14:textId="5206329E" w:rsidR="00204867" w:rsidRPr="00B9423F" w:rsidRDefault="00422CD4" w:rsidP="00422CD4">
            <w:pPr>
              <w:spacing w:after="160" w:line="259" w:lineRule="auto"/>
              <w:jc w:val="both"/>
              <w:rPr>
                <w:sz w:val="22"/>
                <w:szCs w:val="22"/>
              </w:rPr>
            </w:pPr>
            <w:r w:rsidRPr="00B9423F">
              <w:rPr>
                <w:sz w:val="22"/>
                <w:szCs w:val="22"/>
              </w:rPr>
              <w:t>Rizikos R</w:t>
            </w:r>
            <w:r w:rsidR="0042757F">
              <w:rPr>
                <w:sz w:val="22"/>
                <w:szCs w:val="22"/>
                <w:vertAlign w:val="subscript"/>
              </w:rPr>
              <w:t>2</w:t>
            </w:r>
            <w:r w:rsidRPr="00B9423F">
              <w:rPr>
                <w:sz w:val="22"/>
                <w:szCs w:val="22"/>
              </w:rPr>
              <w:t xml:space="preserve"> Tikimybė (T</w:t>
            </w:r>
            <w:r w:rsidRPr="00CC4707">
              <w:rPr>
                <w:sz w:val="22"/>
                <w:szCs w:val="22"/>
                <w:vertAlign w:val="subscript"/>
              </w:rPr>
              <w:t>2</w:t>
            </w:r>
            <w:r w:rsidRPr="00B9423F">
              <w:rPr>
                <w:sz w:val="22"/>
                <w:szCs w:val="22"/>
              </w:rPr>
              <w:t>) vertinama 1 lygiu (labai žemas), nes analizuojamu laikotarpiu Turto banko veiklos srityje nebuvo nustatyta galimų interesų konfliktų, kas atitinka situaciją, kai „yra  0 atvejų per metus subjektuose, kuriuose dirba nuo 1 iki 1 000 darbuotojų“.</w:t>
            </w:r>
          </w:p>
          <w:p w14:paraId="36D32D6F" w14:textId="19FC6BB6" w:rsidR="0042757F" w:rsidRDefault="0042757F" w:rsidP="0042757F">
            <w:pPr>
              <w:spacing w:after="160" w:line="259" w:lineRule="auto"/>
              <w:jc w:val="both"/>
              <w:rPr>
                <w:b/>
                <w:bCs/>
                <w:i/>
                <w:vertAlign w:val="subscript"/>
              </w:rPr>
            </w:pPr>
            <w:r>
              <w:rPr>
                <w:sz w:val="22"/>
                <w:szCs w:val="22"/>
              </w:rPr>
              <w:lastRenderedPageBreak/>
              <w:t xml:space="preserve">Papildomi duomenys ir (ar) informacija, kodėl skirti tokie tikimybės ir poveikio balai yra pateikiami šios išvados </w:t>
            </w:r>
            <w:r w:rsidRPr="00A06B31">
              <w:rPr>
                <w:sz w:val="22"/>
                <w:szCs w:val="22"/>
              </w:rPr>
              <w:t xml:space="preserve"> 1 priedo 9</w:t>
            </w:r>
            <w:r>
              <w:rPr>
                <w:sz w:val="22"/>
                <w:szCs w:val="22"/>
              </w:rPr>
              <w:t>.3.</w:t>
            </w:r>
            <w:r w:rsidRPr="00A06B31">
              <w:rPr>
                <w:sz w:val="22"/>
                <w:szCs w:val="22"/>
              </w:rPr>
              <w:t xml:space="preserve"> punkte</w:t>
            </w:r>
            <w:r>
              <w:rPr>
                <w:sz w:val="22"/>
                <w:szCs w:val="22"/>
              </w:rPr>
              <w:t>.</w:t>
            </w:r>
            <w:r>
              <w:rPr>
                <w:b/>
                <w:bCs/>
                <w:i/>
                <w:vertAlign w:val="subscript"/>
              </w:rPr>
              <w:t xml:space="preserve"> </w:t>
            </w:r>
          </w:p>
          <w:p w14:paraId="4413828E" w14:textId="77777777" w:rsidR="005004FE" w:rsidRPr="00643972" w:rsidRDefault="005004FE" w:rsidP="005004FE">
            <w:pPr>
              <w:spacing w:after="160" w:line="259" w:lineRule="auto"/>
              <w:jc w:val="both"/>
              <w:rPr>
                <w:b/>
                <w:bCs/>
                <w:iCs/>
                <w:sz w:val="22"/>
                <w:szCs w:val="22"/>
              </w:rPr>
            </w:pPr>
            <w:r w:rsidRPr="00643972">
              <w:rPr>
                <w:b/>
                <w:bCs/>
                <w:iCs/>
                <w:sz w:val="22"/>
                <w:szCs w:val="22"/>
              </w:rPr>
              <w:t>Rizika R</w:t>
            </w:r>
            <w:r w:rsidRPr="00643972">
              <w:rPr>
                <w:b/>
                <w:bCs/>
                <w:iCs/>
                <w:sz w:val="22"/>
                <w:szCs w:val="22"/>
                <w:vertAlign w:val="subscript"/>
              </w:rPr>
              <w:t>3</w:t>
            </w:r>
            <w:r w:rsidRPr="00643972">
              <w:rPr>
                <w:b/>
                <w:bCs/>
                <w:iCs/>
                <w:sz w:val="22"/>
                <w:szCs w:val="22"/>
              </w:rPr>
              <w:t xml:space="preserve"> – Perimti kitų subjektų sutartis su užprogramuotais rizikos veiksniais galinčiais didinti korupcijos pasireiškimo tikimybę.</w:t>
            </w:r>
          </w:p>
          <w:p w14:paraId="3B84689D" w14:textId="77777777" w:rsidR="005004FE" w:rsidRPr="00643972" w:rsidRDefault="005004FE" w:rsidP="005004FE">
            <w:pPr>
              <w:spacing w:after="160" w:line="259" w:lineRule="auto"/>
              <w:jc w:val="both"/>
              <w:rPr>
                <w:bCs/>
                <w:spacing w:val="-2"/>
                <w:sz w:val="22"/>
                <w:szCs w:val="22"/>
              </w:rPr>
            </w:pPr>
            <w:r w:rsidRPr="00643972">
              <w:rPr>
                <w:bCs/>
                <w:spacing w:val="-2"/>
                <w:sz w:val="22"/>
                <w:szCs w:val="22"/>
              </w:rPr>
              <w:t>P=3; T=1. Rizikos lygis: R=</w:t>
            </w:r>
            <w:proofErr w:type="spellStart"/>
            <w:r w:rsidRPr="00643972">
              <w:rPr>
                <w:bCs/>
                <w:spacing w:val="-2"/>
                <w:sz w:val="22"/>
                <w:szCs w:val="22"/>
              </w:rPr>
              <w:t>TxP</w:t>
            </w:r>
            <w:proofErr w:type="spellEnd"/>
            <w:r w:rsidRPr="00643972">
              <w:rPr>
                <w:bCs/>
                <w:spacing w:val="-2"/>
                <w:sz w:val="22"/>
                <w:szCs w:val="22"/>
              </w:rPr>
              <w:t xml:space="preserve">; </w:t>
            </w:r>
            <w:r w:rsidRPr="00643972">
              <w:rPr>
                <w:b/>
                <w:spacing w:val="-2"/>
                <w:sz w:val="22"/>
                <w:szCs w:val="22"/>
              </w:rPr>
              <w:t>R</w:t>
            </w:r>
            <w:r w:rsidRPr="00643972">
              <w:rPr>
                <w:b/>
                <w:spacing w:val="-2"/>
                <w:sz w:val="22"/>
                <w:szCs w:val="22"/>
                <w:vertAlign w:val="subscript"/>
              </w:rPr>
              <w:t>3</w:t>
            </w:r>
            <w:r w:rsidRPr="00643972">
              <w:rPr>
                <w:b/>
                <w:spacing w:val="-2"/>
                <w:sz w:val="22"/>
                <w:szCs w:val="22"/>
              </w:rPr>
              <w:t>=3</w:t>
            </w:r>
            <w:r w:rsidRPr="00643972">
              <w:rPr>
                <w:bCs/>
                <w:spacing w:val="-2"/>
                <w:sz w:val="22"/>
                <w:szCs w:val="22"/>
              </w:rPr>
              <w:tab/>
            </w:r>
          </w:p>
          <w:p w14:paraId="61AE1F82" w14:textId="653257B5" w:rsidR="005004FE" w:rsidRPr="00643972" w:rsidRDefault="005004FE" w:rsidP="005004FE">
            <w:pPr>
              <w:tabs>
                <w:tab w:val="left" w:pos="884"/>
              </w:tabs>
              <w:spacing w:line="276" w:lineRule="auto"/>
              <w:ind w:firstLine="851"/>
              <w:jc w:val="both"/>
              <w:rPr>
                <w:bCs/>
                <w:sz w:val="22"/>
                <w:szCs w:val="22"/>
              </w:rPr>
            </w:pPr>
            <w:r w:rsidRPr="00643972">
              <w:rPr>
                <w:bCs/>
                <w:spacing w:val="-2"/>
                <w:sz w:val="22"/>
                <w:szCs w:val="22"/>
              </w:rPr>
              <w:t>Rizikos R</w:t>
            </w:r>
            <w:r w:rsidRPr="00643972">
              <w:rPr>
                <w:bCs/>
                <w:spacing w:val="-2"/>
                <w:sz w:val="22"/>
                <w:szCs w:val="22"/>
                <w:vertAlign w:val="subscript"/>
              </w:rPr>
              <w:t>3</w:t>
            </w:r>
            <w:r w:rsidRPr="00643972">
              <w:rPr>
                <w:bCs/>
                <w:spacing w:val="-2"/>
                <w:sz w:val="22"/>
                <w:szCs w:val="22"/>
              </w:rPr>
              <w:t xml:space="preserve"> galimo (hipotetinio) lygio poveikis (P</w:t>
            </w:r>
            <w:r w:rsidR="00643972" w:rsidRPr="00CC4707">
              <w:rPr>
                <w:bCs/>
                <w:spacing w:val="-2"/>
                <w:sz w:val="22"/>
                <w:szCs w:val="22"/>
                <w:vertAlign w:val="subscript"/>
              </w:rPr>
              <w:t>3</w:t>
            </w:r>
            <w:r w:rsidRPr="00643972">
              <w:rPr>
                <w:bCs/>
                <w:spacing w:val="-2"/>
                <w:sz w:val="22"/>
                <w:szCs w:val="22"/>
              </w:rPr>
              <w:t>) -  vertinama 3 lygiu (Pastebimas), nes atlikus pateiktų poveikio kriterijų, kurie nusako konkrečios rizikos sukeltą arba galimą (hipotetinį) neigiamą poveikį viešojo sektoriaus subjekto veiklai, reputacijai, pasitikėjimui juo, finansinius nuostolius (negautas pajamas)  ir t. t., analizę, nustatyta, kad gali būti p</w:t>
            </w:r>
            <w:r w:rsidRPr="00643972">
              <w:rPr>
                <w:bCs/>
                <w:sz w:val="22"/>
                <w:szCs w:val="22"/>
              </w:rPr>
              <w:t>aveikiama viešojo sektoriaus subjekto veikla – skiriama daugiau nei įprastai laiko ir priemonių skundams nagrinėti, aiškinti įvykių aplinkybėms, galimi kitų institucijų paklausimai apie konkrečius atvejus.</w:t>
            </w:r>
          </w:p>
          <w:p w14:paraId="6FFB9B36" w14:textId="7165C59C" w:rsidR="005004FE" w:rsidRPr="00643972" w:rsidRDefault="005004FE" w:rsidP="005004FE">
            <w:pPr>
              <w:spacing w:after="160" w:line="259" w:lineRule="auto"/>
              <w:ind w:firstLine="851"/>
              <w:jc w:val="both"/>
              <w:rPr>
                <w:sz w:val="22"/>
                <w:szCs w:val="22"/>
              </w:rPr>
            </w:pPr>
            <w:r w:rsidRPr="00643972">
              <w:rPr>
                <w:bCs/>
                <w:spacing w:val="-2"/>
                <w:sz w:val="22"/>
                <w:szCs w:val="22"/>
              </w:rPr>
              <w:t>Rizikos R</w:t>
            </w:r>
            <w:r w:rsidR="00874668" w:rsidRPr="00643972">
              <w:rPr>
                <w:bCs/>
                <w:spacing w:val="-2"/>
                <w:sz w:val="22"/>
                <w:szCs w:val="22"/>
                <w:vertAlign w:val="subscript"/>
              </w:rPr>
              <w:t>3</w:t>
            </w:r>
            <w:r w:rsidRPr="00643972">
              <w:rPr>
                <w:bCs/>
                <w:spacing w:val="-2"/>
                <w:sz w:val="22"/>
                <w:szCs w:val="22"/>
              </w:rPr>
              <w:t xml:space="preserve"> </w:t>
            </w:r>
            <w:r w:rsidRPr="00643972">
              <w:rPr>
                <w:sz w:val="22"/>
                <w:szCs w:val="22"/>
              </w:rPr>
              <w:t>Tikimybė (T</w:t>
            </w:r>
            <w:r w:rsidR="00643972" w:rsidRPr="00CC4707">
              <w:rPr>
                <w:sz w:val="22"/>
                <w:szCs w:val="22"/>
                <w:vertAlign w:val="subscript"/>
              </w:rPr>
              <w:t>3</w:t>
            </w:r>
            <w:r w:rsidRPr="00643972">
              <w:rPr>
                <w:sz w:val="22"/>
                <w:szCs w:val="22"/>
              </w:rPr>
              <w:t>) vertinama 1 lygiu (labai žemas), nes analizuojamu laikotarpiu Turto banko veiklos srityje nebuvo nustatyta, kad buvo perimtos sutartys su korupcinėmis apraiškomis, kas atitinka situaciją, kai „yra  0 atvejų per metus subjektuose, kuriuose dirba nuo 1 iki 1 000 darbuotojų“.</w:t>
            </w:r>
          </w:p>
          <w:p w14:paraId="36A24418" w14:textId="5EE3B8A5" w:rsidR="00C127D4" w:rsidRPr="00F100A7" w:rsidRDefault="00643972" w:rsidP="009F12B3">
            <w:pPr>
              <w:spacing w:after="160" w:line="259" w:lineRule="auto"/>
              <w:jc w:val="both"/>
              <w:rPr>
                <w:b/>
                <w:bCs/>
                <w:i/>
                <w:vertAlign w:val="subscript"/>
              </w:rPr>
            </w:pPr>
            <w:r>
              <w:rPr>
                <w:sz w:val="22"/>
                <w:szCs w:val="22"/>
              </w:rPr>
              <w:t xml:space="preserve">Papildomi duomenys ir (ar) informacija, kodėl skirti tokie tikimybės ir poveikio balai yra pateikiami šios išvados </w:t>
            </w:r>
            <w:r w:rsidRPr="00A06B31">
              <w:rPr>
                <w:sz w:val="22"/>
                <w:szCs w:val="22"/>
              </w:rPr>
              <w:t xml:space="preserve"> 1 priedo 9</w:t>
            </w:r>
            <w:r>
              <w:rPr>
                <w:sz w:val="22"/>
                <w:szCs w:val="22"/>
              </w:rPr>
              <w:t>.3.</w:t>
            </w:r>
            <w:r w:rsidRPr="00A06B31">
              <w:rPr>
                <w:sz w:val="22"/>
                <w:szCs w:val="22"/>
              </w:rPr>
              <w:t xml:space="preserve"> punkte</w:t>
            </w:r>
            <w:r>
              <w:rPr>
                <w:sz w:val="22"/>
                <w:szCs w:val="22"/>
              </w:rPr>
              <w:t>.</w:t>
            </w:r>
            <w:r>
              <w:rPr>
                <w:b/>
                <w:bCs/>
                <w:i/>
                <w:vertAlign w:val="subscript"/>
              </w:rPr>
              <w:t xml:space="preserve"> </w:t>
            </w:r>
          </w:p>
        </w:tc>
      </w:tr>
      <w:tr w:rsidR="00494432" w:rsidRPr="004A3362" w14:paraId="0783B41C" w14:textId="77777777" w:rsidTr="00FA7102">
        <w:trPr>
          <w:trHeight w:val="225"/>
        </w:trPr>
        <w:tc>
          <w:tcPr>
            <w:tcW w:w="10207" w:type="dxa"/>
            <w:gridSpan w:val="2"/>
            <w:tcBorders>
              <w:right w:val="single" w:sz="4" w:space="0" w:color="auto"/>
            </w:tcBorders>
          </w:tcPr>
          <w:p w14:paraId="7F15EF21" w14:textId="17B0FA2E" w:rsidR="00494432" w:rsidRPr="00EF2B0C" w:rsidRDefault="00494432" w:rsidP="00494432">
            <w:pPr>
              <w:tabs>
                <w:tab w:val="left" w:pos="851"/>
              </w:tabs>
              <w:jc w:val="center"/>
              <w:rPr>
                <w:b/>
                <w:sz w:val="28"/>
                <w:szCs w:val="28"/>
              </w:rPr>
            </w:pPr>
            <w:r w:rsidRPr="00EF2B0C">
              <w:rPr>
                <w:b/>
                <w:sz w:val="28"/>
                <w:szCs w:val="28"/>
              </w:rPr>
              <w:lastRenderedPageBreak/>
              <w:t>Kita informacija</w:t>
            </w:r>
          </w:p>
        </w:tc>
      </w:tr>
      <w:tr w:rsidR="00494432" w:rsidRPr="004A3362" w14:paraId="0148F19B" w14:textId="77777777" w:rsidTr="00FA7102">
        <w:trPr>
          <w:trHeight w:val="487"/>
        </w:trPr>
        <w:tc>
          <w:tcPr>
            <w:tcW w:w="4962" w:type="dxa"/>
          </w:tcPr>
          <w:p w14:paraId="7673069F" w14:textId="7613A2CB" w:rsidR="00494432" w:rsidRPr="004B2DAA" w:rsidRDefault="00371A4F" w:rsidP="00EF2B0C">
            <w:pPr>
              <w:rPr>
                <w:b/>
              </w:rPr>
            </w:pPr>
            <w:r>
              <w:rPr>
                <w:b/>
              </w:rPr>
              <w:t>5</w:t>
            </w:r>
            <w:r w:rsidR="00870FDD">
              <w:rPr>
                <w:b/>
              </w:rPr>
              <w:t xml:space="preserve">. </w:t>
            </w:r>
            <w:r w:rsidR="0019686F">
              <w:rPr>
                <w:b/>
              </w:rPr>
              <w:t>P</w:t>
            </w:r>
            <w:r w:rsidR="00494432" w:rsidRPr="00EF2B0C">
              <w:rPr>
                <w:b/>
              </w:rPr>
              <w:t xml:space="preserve">asiūlymai </w:t>
            </w:r>
            <w:r w:rsidR="004B2DAA" w:rsidRPr="004B2DAA">
              <w:rPr>
                <w:b/>
              </w:rPr>
              <w:t>dėl</w:t>
            </w:r>
            <w:r w:rsidR="0034682E">
              <w:rPr>
                <w:b/>
              </w:rPr>
              <w:t xml:space="preserve"> nustatytų rizikų </w:t>
            </w:r>
            <w:r w:rsidR="004B2DAA" w:rsidRPr="004B2DAA">
              <w:rPr>
                <w:b/>
              </w:rPr>
              <w:t>mažinimo priemonių taikymo</w:t>
            </w:r>
          </w:p>
          <w:p w14:paraId="3A1864AF" w14:textId="7F80420E" w:rsidR="00EF2B0C" w:rsidRPr="00EF2B0C" w:rsidRDefault="00EF2B0C" w:rsidP="00EF2B0C">
            <w:pPr>
              <w:rPr>
                <w:b/>
                <w:szCs w:val="22"/>
              </w:rPr>
            </w:pPr>
          </w:p>
        </w:tc>
        <w:tc>
          <w:tcPr>
            <w:tcW w:w="5245" w:type="dxa"/>
          </w:tcPr>
          <w:p w14:paraId="770BA612" w14:textId="77777777" w:rsidR="00494432" w:rsidRPr="001E16DD" w:rsidRDefault="009B3B7A" w:rsidP="00F1158D">
            <w:pPr>
              <w:pStyle w:val="Sraopastraipa"/>
              <w:ind w:left="0"/>
              <w:jc w:val="both"/>
              <w:rPr>
                <w:sz w:val="22"/>
                <w:szCs w:val="22"/>
              </w:rPr>
            </w:pPr>
            <w:r w:rsidRPr="001E16DD">
              <w:rPr>
                <w:sz w:val="22"/>
                <w:szCs w:val="22"/>
              </w:rPr>
              <w:t xml:space="preserve">Rizikai </w:t>
            </w:r>
            <w:r w:rsidR="00F1158D" w:rsidRPr="00CC4707">
              <w:rPr>
                <w:b/>
                <w:bCs/>
                <w:sz w:val="22"/>
                <w:szCs w:val="22"/>
              </w:rPr>
              <w:t>R</w:t>
            </w:r>
            <w:r w:rsidR="00F1158D" w:rsidRPr="00CC4707">
              <w:rPr>
                <w:b/>
                <w:bCs/>
                <w:sz w:val="22"/>
                <w:szCs w:val="22"/>
                <w:vertAlign w:val="subscript"/>
              </w:rPr>
              <w:t xml:space="preserve">4 </w:t>
            </w:r>
            <w:r w:rsidR="00F1158D" w:rsidRPr="001E16DD">
              <w:rPr>
                <w:sz w:val="22"/>
                <w:szCs w:val="22"/>
              </w:rPr>
              <w:t>mažinti siūloma:</w:t>
            </w:r>
          </w:p>
          <w:p w14:paraId="7751A7CA" w14:textId="670CD306" w:rsidR="009E2D4D" w:rsidRPr="001E16DD" w:rsidRDefault="009E2D4D" w:rsidP="009E2D4D">
            <w:pPr>
              <w:pStyle w:val="Sraopastraipa"/>
              <w:ind w:left="0" w:firstLine="33"/>
              <w:jc w:val="both"/>
              <w:rPr>
                <w:sz w:val="22"/>
                <w:szCs w:val="22"/>
              </w:rPr>
            </w:pPr>
            <w:r w:rsidRPr="001E16DD">
              <w:rPr>
                <w:sz w:val="22"/>
                <w:szCs w:val="22"/>
              </w:rPr>
              <w:t>1. Užtikrinti Faktinio naudojimo apraše numatytų veiksmų atlikimą;</w:t>
            </w:r>
          </w:p>
          <w:p w14:paraId="129EE0A1" w14:textId="486D7097" w:rsidR="009E2D4D" w:rsidRPr="001E16DD" w:rsidRDefault="009E2D4D" w:rsidP="000F06CA">
            <w:pPr>
              <w:pStyle w:val="Sraopastraipa"/>
              <w:ind w:left="33"/>
              <w:jc w:val="both"/>
              <w:rPr>
                <w:sz w:val="22"/>
                <w:szCs w:val="22"/>
              </w:rPr>
            </w:pPr>
            <w:r w:rsidRPr="001E16DD">
              <w:rPr>
                <w:sz w:val="22"/>
                <w:szCs w:val="22"/>
              </w:rPr>
              <w:t>2. Nustatyti ir įtvirtinti požymius, kurie indikuotų galimą neteisėtą Nenaudojamo VNT  naudojimą bei tokio turto tikrinimo tvarką;</w:t>
            </w:r>
          </w:p>
          <w:p w14:paraId="741C37DC" w14:textId="7564B917" w:rsidR="009E2D4D" w:rsidRPr="001E16DD" w:rsidRDefault="009E2D4D" w:rsidP="009E2D4D">
            <w:pPr>
              <w:pStyle w:val="Sraopastraipa"/>
              <w:ind w:left="0" w:firstLine="33"/>
              <w:jc w:val="both"/>
              <w:rPr>
                <w:sz w:val="22"/>
                <w:szCs w:val="22"/>
              </w:rPr>
            </w:pPr>
            <w:r w:rsidRPr="001E16DD">
              <w:rPr>
                <w:sz w:val="22"/>
                <w:szCs w:val="22"/>
              </w:rPr>
              <w:t xml:space="preserve">3. NT valdytojams nustatyti objektų rizikingų dėl galimo neteisėto Nenaudojamo VNT naudojimo tikrinamų  </w:t>
            </w:r>
            <w:proofErr w:type="spellStart"/>
            <w:r w:rsidRPr="001E16DD">
              <w:rPr>
                <w:sz w:val="22"/>
                <w:szCs w:val="22"/>
              </w:rPr>
              <w:t>įmtį</w:t>
            </w:r>
            <w:proofErr w:type="spellEnd"/>
            <w:r w:rsidRPr="001E16DD">
              <w:rPr>
                <w:sz w:val="22"/>
                <w:szCs w:val="22"/>
              </w:rPr>
              <w:t xml:space="preserve"> bei jų atlikimo periodiškumą;</w:t>
            </w:r>
          </w:p>
          <w:p w14:paraId="14A04073" w14:textId="77777777" w:rsidR="00F1158D" w:rsidRPr="001E16DD" w:rsidRDefault="009E2D4D" w:rsidP="009E2D4D">
            <w:pPr>
              <w:pStyle w:val="Sraopastraipa"/>
              <w:ind w:left="0" w:firstLine="33"/>
              <w:jc w:val="both"/>
              <w:rPr>
                <w:sz w:val="22"/>
                <w:szCs w:val="22"/>
              </w:rPr>
            </w:pPr>
            <w:r w:rsidRPr="001E16DD">
              <w:rPr>
                <w:sz w:val="22"/>
                <w:szCs w:val="22"/>
              </w:rPr>
              <w:t xml:space="preserve">4. Patikrinimų metu naudoti papildomos skaidrumą užtikrinančias priemonės pvz. IT įrankius (nešiojamas </w:t>
            </w:r>
            <w:proofErr w:type="spellStart"/>
            <w:r w:rsidRPr="001E16DD">
              <w:rPr>
                <w:sz w:val="22"/>
                <w:szCs w:val="22"/>
              </w:rPr>
              <w:t>plančetes</w:t>
            </w:r>
            <w:proofErr w:type="spellEnd"/>
            <w:r w:rsidRPr="001E16DD">
              <w:rPr>
                <w:sz w:val="22"/>
                <w:szCs w:val="22"/>
              </w:rPr>
              <w:t xml:space="preserve"> sujungtas su </w:t>
            </w:r>
            <w:proofErr w:type="spellStart"/>
            <w:r w:rsidRPr="001E16DD">
              <w:rPr>
                <w:sz w:val="22"/>
                <w:szCs w:val="22"/>
              </w:rPr>
              <w:t>Grandlund</w:t>
            </w:r>
            <w:proofErr w:type="spellEnd"/>
            <w:r w:rsidRPr="001E16DD">
              <w:rPr>
                <w:sz w:val="22"/>
                <w:szCs w:val="22"/>
              </w:rPr>
              <w:t>) atlikti pažeidimų fotofiksaciją.</w:t>
            </w:r>
          </w:p>
          <w:p w14:paraId="59667D1B" w14:textId="77777777" w:rsidR="00CC411F" w:rsidRDefault="00CC411F" w:rsidP="009E2D4D">
            <w:pPr>
              <w:pStyle w:val="Sraopastraipa"/>
              <w:ind w:left="0"/>
              <w:jc w:val="both"/>
              <w:rPr>
                <w:sz w:val="22"/>
                <w:szCs w:val="22"/>
              </w:rPr>
            </w:pPr>
          </w:p>
          <w:p w14:paraId="271B26F1" w14:textId="7698A7B3" w:rsidR="009E2D4D" w:rsidRPr="001E16DD" w:rsidRDefault="009E2D4D" w:rsidP="009E2D4D">
            <w:pPr>
              <w:pStyle w:val="Sraopastraipa"/>
              <w:ind w:left="0"/>
              <w:jc w:val="both"/>
              <w:rPr>
                <w:sz w:val="22"/>
                <w:szCs w:val="22"/>
              </w:rPr>
            </w:pPr>
            <w:r w:rsidRPr="001E16DD">
              <w:rPr>
                <w:sz w:val="22"/>
                <w:szCs w:val="22"/>
              </w:rPr>
              <w:t xml:space="preserve">Rizikai </w:t>
            </w:r>
            <w:r w:rsidRPr="00CC4707">
              <w:rPr>
                <w:b/>
                <w:bCs/>
                <w:sz w:val="22"/>
                <w:szCs w:val="22"/>
              </w:rPr>
              <w:t>R</w:t>
            </w:r>
            <w:r w:rsidRPr="00CC4707">
              <w:rPr>
                <w:b/>
                <w:bCs/>
                <w:sz w:val="22"/>
                <w:szCs w:val="22"/>
                <w:vertAlign w:val="subscript"/>
              </w:rPr>
              <w:t>1</w:t>
            </w:r>
            <w:r w:rsidRPr="001E16DD">
              <w:rPr>
                <w:sz w:val="22"/>
                <w:szCs w:val="22"/>
                <w:vertAlign w:val="subscript"/>
              </w:rPr>
              <w:t xml:space="preserve"> </w:t>
            </w:r>
            <w:r w:rsidRPr="001E16DD">
              <w:rPr>
                <w:sz w:val="22"/>
                <w:szCs w:val="22"/>
              </w:rPr>
              <w:t>mažinti siūloma:</w:t>
            </w:r>
          </w:p>
          <w:p w14:paraId="14E16167" w14:textId="76799720" w:rsidR="00643079" w:rsidRPr="001E16DD" w:rsidRDefault="00643079" w:rsidP="00643079">
            <w:pPr>
              <w:pStyle w:val="Sraopastraipa"/>
              <w:ind w:left="33"/>
              <w:jc w:val="both"/>
              <w:rPr>
                <w:sz w:val="22"/>
                <w:szCs w:val="22"/>
              </w:rPr>
            </w:pPr>
            <w:r w:rsidRPr="001E16DD">
              <w:rPr>
                <w:sz w:val="22"/>
                <w:szCs w:val="22"/>
              </w:rPr>
              <w:t>1. Įtvirtinti kriterijus, pagal kuriuos priimamas sprendimas dėl turto nuomos prioritetų;</w:t>
            </w:r>
          </w:p>
          <w:p w14:paraId="5C6BFC34" w14:textId="73F49670" w:rsidR="009E2D4D" w:rsidRPr="001E16DD" w:rsidRDefault="00643079" w:rsidP="00643079">
            <w:pPr>
              <w:pStyle w:val="Sraopastraipa"/>
              <w:ind w:left="33"/>
              <w:jc w:val="both"/>
              <w:rPr>
                <w:sz w:val="22"/>
                <w:szCs w:val="22"/>
              </w:rPr>
            </w:pPr>
            <w:r w:rsidRPr="001E16DD">
              <w:rPr>
                <w:sz w:val="22"/>
                <w:szCs w:val="22"/>
              </w:rPr>
              <w:t xml:space="preserve">2. </w:t>
            </w:r>
            <w:proofErr w:type="spellStart"/>
            <w:r w:rsidR="00DA7DE0" w:rsidRPr="00DA7DE0">
              <w:rPr>
                <w:sz w:val="22"/>
                <w:szCs w:val="22"/>
              </w:rPr>
              <w:t>Labbis</w:t>
            </w:r>
            <w:proofErr w:type="spellEnd"/>
            <w:r w:rsidR="00DA7DE0" w:rsidRPr="00DA7DE0">
              <w:rPr>
                <w:sz w:val="22"/>
                <w:szCs w:val="22"/>
              </w:rPr>
              <w:t xml:space="preserve"> posistemyje „</w:t>
            </w:r>
            <w:r w:rsidR="00DA7DE0">
              <w:rPr>
                <w:sz w:val="22"/>
                <w:szCs w:val="22"/>
              </w:rPr>
              <w:t>P</w:t>
            </w:r>
            <w:r w:rsidR="00DA7DE0" w:rsidRPr="00DA7DE0">
              <w:rPr>
                <w:sz w:val="22"/>
                <w:szCs w:val="22"/>
              </w:rPr>
              <w:t>atalpų vadyba“ nustatant patalpų požymius turinčius įtakos jų nuomai fiksuoti ir šiuos požymius nustačiusius konkrečius darbuotojus.</w:t>
            </w:r>
          </w:p>
          <w:p w14:paraId="4D274541" w14:textId="77777777" w:rsidR="00CC411F" w:rsidRDefault="00CC411F" w:rsidP="009E2D4D">
            <w:pPr>
              <w:pStyle w:val="Sraopastraipa"/>
              <w:ind w:left="0"/>
              <w:jc w:val="both"/>
              <w:rPr>
                <w:sz w:val="22"/>
                <w:szCs w:val="22"/>
              </w:rPr>
            </w:pPr>
          </w:p>
          <w:p w14:paraId="5919A892" w14:textId="21657ADD" w:rsidR="009E2D4D" w:rsidRPr="001E16DD" w:rsidRDefault="009E2D4D" w:rsidP="009E2D4D">
            <w:pPr>
              <w:pStyle w:val="Sraopastraipa"/>
              <w:ind w:left="0"/>
              <w:jc w:val="both"/>
              <w:rPr>
                <w:sz w:val="22"/>
                <w:szCs w:val="22"/>
              </w:rPr>
            </w:pPr>
            <w:r w:rsidRPr="001E16DD">
              <w:rPr>
                <w:sz w:val="22"/>
                <w:szCs w:val="22"/>
              </w:rPr>
              <w:t xml:space="preserve">Rizikai </w:t>
            </w:r>
            <w:r w:rsidRPr="00CC411F">
              <w:rPr>
                <w:b/>
                <w:bCs/>
                <w:sz w:val="22"/>
                <w:szCs w:val="22"/>
              </w:rPr>
              <w:t>R</w:t>
            </w:r>
            <w:r w:rsidRPr="00CC411F">
              <w:rPr>
                <w:b/>
                <w:bCs/>
                <w:sz w:val="22"/>
                <w:szCs w:val="22"/>
                <w:vertAlign w:val="subscript"/>
              </w:rPr>
              <w:t>2</w:t>
            </w:r>
            <w:r w:rsidRPr="001E16DD">
              <w:rPr>
                <w:sz w:val="22"/>
                <w:szCs w:val="22"/>
                <w:vertAlign w:val="subscript"/>
              </w:rPr>
              <w:t xml:space="preserve"> </w:t>
            </w:r>
            <w:r w:rsidRPr="001E16DD">
              <w:rPr>
                <w:sz w:val="22"/>
                <w:szCs w:val="22"/>
              </w:rPr>
              <w:t>mažinti siūloma:</w:t>
            </w:r>
          </w:p>
          <w:p w14:paraId="0C700208" w14:textId="5194E707" w:rsidR="00F50398" w:rsidRPr="001E16DD" w:rsidRDefault="00EE60F9" w:rsidP="00EE60F9">
            <w:pPr>
              <w:pStyle w:val="Sraopastraipa"/>
              <w:spacing w:after="160" w:line="259" w:lineRule="auto"/>
              <w:ind w:left="33"/>
              <w:jc w:val="both"/>
              <w:rPr>
                <w:bCs/>
                <w:spacing w:val="-2"/>
                <w:sz w:val="22"/>
                <w:szCs w:val="22"/>
              </w:rPr>
            </w:pPr>
            <w:r w:rsidRPr="001E16DD">
              <w:rPr>
                <w:bCs/>
                <w:spacing w:val="-2"/>
                <w:sz w:val="22"/>
                <w:szCs w:val="22"/>
              </w:rPr>
              <w:lastRenderedPageBreak/>
              <w:t xml:space="preserve">1. </w:t>
            </w:r>
            <w:r w:rsidR="000F06CA" w:rsidRPr="001E16DD">
              <w:rPr>
                <w:bCs/>
                <w:spacing w:val="-2"/>
                <w:sz w:val="22"/>
                <w:szCs w:val="22"/>
              </w:rPr>
              <w:t xml:space="preserve">Užtikrinti Sutarčių administravimo </w:t>
            </w:r>
            <w:r w:rsidR="000F06CA" w:rsidRPr="001E16DD">
              <w:rPr>
                <w:iCs/>
                <w:sz w:val="22"/>
                <w:szCs w:val="22"/>
              </w:rPr>
              <w:t>procese numatytų kontrolės veiksmų</w:t>
            </w:r>
            <w:r w:rsidR="000F06CA" w:rsidRPr="001E16DD">
              <w:rPr>
                <w:sz w:val="22"/>
                <w:szCs w:val="22"/>
              </w:rPr>
              <w:t xml:space="preserve"> atlikimą pasitelkiant </w:t>
            </w:r>
            <w:proofErr w:type="spellStart"/>
            <w:r w:rsidR="000F06CA" w:rsidRPr="001E16DD">
              <w:rPr>
                <w:sz w:val="22"/>
                <w:szCs w:val="22"/>
              </w:rPr>
              <w:t>Grandlund</w:t>
            </w:r>
            <w:proofErr w:type="spellEnd"/>
            <w:r w:rsidR="000F06CA" w:rsidRPr="001E16DD">
              <w:rPr>
                <w:sz w:val="22"/>
                <w:szCs w:val="22"/>
              </w:rPr>
              <w:t xml:space="preserve"> funkcionalumą;</w:t>
            </w:r>
          </w:p>
          <w:p w14:paraId="29669501" w14:textId="586FE5D6" w:rsidR="00F50398" w:rsidRPr="001E16DD" w:rsidRDefault="00EE60F9" w:rsidP="00EE60F9">
            <w:pPr>
              <w:pStyle w:val="Sraopastraipa"/>
              <w:spacing w:after="160" w:line="259" w:lineRule="auto"/>
              <w:ind w:left="33"/>
              <w:jc w:val="both"/>
              <w:rPr>
                <w:bCs/>
                <w:spacing w:val="-2"/>
                <w:sz w:val="22"/>
                <w:szCs w:val="22"/>
              </w:rPr>
            </w:pPr>
            <w:r w:rsidRPr="001E16DD">
              <w:rPr>
                <w:sz w:val="22"/>
                <w:szCs w:val="22"/>
              </w:rPr>
              <w:t xml:space="preserve">2. </w:t>
            </w:r>
            <w:r w:rsidR="000F06CA" w:rsidRPr="001E16DD">
              <w:rPr>
                <w:sz w:val="22"/>
                <w:szCs w:val="22"/>
              </w:rPr>
              <w:t xml:space="preserve">Patikrinimų metu naudoti papildomos skaidrumą užtikrinančias priemonės pvz. IT įrankius (nešiojamas </w:t>
            </w:r>
            <w:proofErr w:type="spellStart"/>
            <w:r w:rsidR="000F06CA" w:rsidRPr="001E16DD">
              <w:rPr>
                <w:sz w:val="22"/>
                <w:szCs w:val="22"/>
              </w:rPr>
              <w:t>plančetes</w:t>
            </w:r>
            <w:proofErr w:type="spellEnd"/>
            <w:r w:rsidR="000F06CA" w:rsidRPr="001E16DD">
              <w:rPr>
                <w:sz w:val="22"/>
                <w:szCs w:val="22"/>
              </w:rPr>
              <w:t xml:space="preserve"> sujungtas su </w:t>
            </w:r>
            <w:proofErr w:type="spellStart"/>
            <w:r w:rsidR="000F06CA" w:rsidRPr="001E16DD">
              <w:rPr>
                <w:sz w:val="22"/>
                <w:szCs w:val="22"/>
              </w:rPr>
              <w:t>Grandlund</w:t>
            </w:r>
            <w:proofErr w:type="spellEnd"/>
            <w:r w:rsidR="000F06CA" w:rsidRPr="001E16DD">
              <w:rPr>
                <w:sz w:val="22"/>
                <w:szCs w:val="22"/>
              </w:rPr>
              <w:t>) atlikti pažeidimų fotofiksaciją.</w:t>
            </w:r>
          </w:p>
          <w:p w14:paraId="16982372" w14:textId="57D12AF7" w:rsidR="000F06CA" w:rsidRPr="001E16DD" w:rsidRDefault="00EE60F9" w:rsidP="00EE60F9">
            <w:pPr>
              <w:pStyle w:val="Sraopastraipa"/>
              <w:spacing w:after="160" w:line="259" w:lineRule="auto"/>
              <w:ind w:left="33"/>
              <w:jc w:val="both"/>
              <w:rPr>
                <w:bCs/>
                <w:spacing w:val="-2"/>
                <w:sz w:val="22"/>
                <w:szCs w:val="22"/>
              </w:rPr>
            </w:pPr>
            <w:r w:rsidRPr="001E16DD">
              <w:rPr>
                <w:bCs/>
                <w:spacing w:val="-2"/>
                <w:sz w:val="22"/>
                <w:szCs w:val="22"/>
              </w:rPr>
              <w:t xml:space="preserve">3. </w:t>
            </w:r>
            <w:r w:rsidR="000F06CA" w:rsidRPr="001E16DD">
              <w:rPr>
                <w:bCs/>
                <w:spacing w:val="-2"/>
                <w:sz w:val="22"/>
                <w:szCs w:val="22"/>
              </w:rPr>
              <w:t xml:space="preserve">NT valdytojams nustatyti išnuomotų objektų tikrinamų </w:t>
            </w:r>
            <w:proofErr w:type="spellStart"/>
            <w:r w:rsidR="000F06CA" w:rsidRPr="001E16DD">
              <w:rPr>
                <w:bCs/>
                <w:spacing w:val="-2"/>
                <w:sz w:val="22"/>
                <w:szCs w:val="22"/>
              </w:rPr>
              <w:t>įmtį</w:t>
            </w:r>
            <w:proofErr w:type="spellEnd"/>
            <w:r w:rsidR="000F06CA" w:rsidRPr="001E16DD">
              <w:rPr>
                <w:bCs/>
                <w:spacing w:val="-2"/>
                <w:sz w:val="22"/>
                <w:szCs w:val="22"/>
              </w:rPr>
              <w:t xml:space="preserve"> bei jų patikrinimo periodiškumą.</w:t>
            </w:r>
          </w:p>
          <w:p w14:paraId="194FB1D2" w14:textId="77777777" w:rsidR="00CC411F" w:rsidRDefault="00CC411F" w:rsidP="009E2D4D">
            <w:pPr>
              <w:pStyle w:val="Sraopastraipa"/>
              <w:ind w:left="0"/>
              <w:jc w:val="both"/>
              <w:rPr>
                <w:sz w:val="22"/>
                <w:szCs w:val="22"/>
              </w:rPr>
            </w:pPr>
          </w:p>
          <w:p w14:paraId="5C39078C" w14:textId="76439247" w:rsidR="009E2D4D" w:rsidRPr="001E16DD" w:rsidRDefault="00CC4707" w:rsidP="009E2D4D">
            <w:pPr>
              <w:pStyle w:val="Sraopastraipa"/>
              <w:ind w:left="0"/>
              <w:jc w:val="both"/>
              <w:rPr>
                <w:sz w:val="22"/>
                <w:szCs w:val="22"/>
              </w:rPr>
            </w:pPr>
            <w:r>
              <w:rPr>
                <w:sz w:val="22"/>
                <w:szCs w:val="22"/>
              </w:rPr>
              <w:t>R</w:t>
            </w:r>
            <w:r w:rsidR="009E2D4D" w:rsidRPr="001E16DD">
              <w:rPr>
                <w:sz w:val="22"/>
                <w:szCs w:val="22"/>
              </w:rPr>
              <w:t xml:space="preserve">izikai </w:t>
            </w:r>
            <w:r w:rsidR="009E2D4D" w:rsidRPr="00CC4707">
              <w:rPr>
                <w:b/>
                <w:bCs/>
                <w:sz w:val="22"/>
                <w:szCs w:val="22"/>
              </w:rPr>
              <w:t>R</w:t>
            </w:r>
            <w:r w:rsidR="009E2D4D" w:rsidRPr="00CC4707">
              <w:rPr>
                <w:b/>
                <w:bCs/>
                <w:sz w:val="22"/>
                <w:szCs w:val="22"/>
                <w:vertAlign w:val="subscript"/>
              </w:rPr>
              <w:t>3</w:t>
            </w:r>
            <w:r w:rsidR="009E2D4D" w:rsidRPr="001E16DD">
              <w:rPr>
                <w:sz w:val="22"/>
                <w:szCs w:val="22"/>
                <w:vertAlign w:val="subscript"/>
              </w:rPr>
              <w:t xml:space="preserve"> </w:t>
            </w:r>
            <w:r w:rsidR="009E2D4D" w:rsidRPr="001E16DD">
              <w:rPr>
                <w:sz w:val="22"/>
                <w:szCs w:val="22"/>
              </w:rPr>
              <w:t>mažinti siūloma:</w:t>
            </w:r>
          </w:p>
          <w:p w14:paraId="143EC5A2" w14:textId="77777777" w:rsidR="00CC4707" w:rsidRDefault="001E16DD" w:rsidP="00CC4707">
            <w:pPr>
              <w:spacing w:after="160" w:line="259" w:lineRule="auto"/>
              <w:jc w:val="both"/>
              <w:rPr>
                <w:sz w:val="22"/>
                <w:szCs w:val="22"/>
              </w:rPr>
            </w:pPr>
            <w:r w:rsidRPr="001E16DD">
              <w:rPr>
                <w:bCs/>
                <w:spacing w:val="-2"/>
                <w:sz w:val="22"/>
                <w:szCs w:val="22"/>
              </w:rPr>
              <w:t xml:space="preserve">1. </w:t>
            </w:r>
            <w:r w:rsidR="00EE60F9" w:rsidRPr="001E16DD">
              <w:rPr>
                <w:bCs/>
                <w:spacing w:val="-2"/>
                <w:sz w:val="22"/>
                <w:szCs w:val="22"/>
              </w:rPr>
              <w:t xml:space="preserve">Užtikrinti Perėmimo ir Sutarčių administravimo procesuose  numatytų </w:t>
            </w:r>
            <w:r w:rsidR="00EE60F9" w:rsidRPr="001E16DD">
              <w:rPr>
                <w:iCs/>
                <w:sz w:val="22"/>
                <w:szCs w:val="22"/>
              </w:rPr>
              <w:t>veiksmų</w:t>
            </w:r>
            <w:r w:rsidR="00EE60F9" w:rsidRPr="001E16DD">
              <w:rPr>
                <w:sz w:val="22"/>
                <w:szCs w:val="22"/>
              </w:rPr>
              <w:t xml:space="preserve"> atlikimą;</w:t>
            </w:r>
          </w:p>
          <w:p w14:paraId="3BC62EE6" w14:textId="43364696" w:rsidR="00EE60F9" w:rsidRPr="001E16DD" w:rsidRDefault="001E16DD" w:rsidP="00CC4707">
            <w:pPr>
              <w:spacing w:after="160" w:line="259" w:lineRule="auto"/>
              <w:jc w:val="both"/>
              <w:rPr>
                <w:bCs/>
                <w:spacing w:val="-2"/>
                <w:sz w:val="22"/>
                <w:szCs w:val="22"/>
              </w:rPr>
            </w:pPr>
            <w:r w:rsidRPr="001E16DD">
              <w:rPr>
                <w:bCs/>
                <w:spacing w:val="-2"/>
                <w:sz w:val="22"/>
                <w:szCs w:val="22"/>
              </w:rPr>
              <w:t xml:space="preserve">2. </w:t>
            </w:r>
            <w:r w:rsidR="00EE60F9" w:rsidRPr="001E16DD">
              <w:rPr>
                <w:bCs/>
                <w:spacing w:val="-2"/>
                <w:sz w:val="22"/>
                <w:szCs w:val="22"/>
              </w:rPr>
              <w:t>Didesnį dėmesį skirti bendradarbiavimui su turtą perduodančiu NT objekto patikėtiniu, raginti jį inicijuoti perduodamų teisės aktų neatitinkančių nuomos sutarčių pakeitimo atlikimą;</w:t>
            </w:r>
          </w:p>
          <w:p w14:paraId="54DB6F48" w14:textId="1909CD09" w:rsidR="009E2D4D" w:rsidRPr="001E16DD" w:rsidRDefault="001E16DD" w:rsidP="00F100A7">
            <w:pPr>
              <w:pStyle w:val="Sraopastraipa"/>
              <w:spacing w:after="160" w:line="259" w:lineRule="auto"/>
              <w:ind w:left="0"/>
              <w:jc w:val="both"/>
              <w:rPr>
                <w:sz w:val="22"/>
                <w:szCs w:val="22"/>
              </w:rPr>
            </w:pPr>
            <w:r w:rsidRPr="001E16DD">
              <w:rPr>
                <w:bCs/>
                <w:spacing w:val="-2"/>
                <w:sz w:val="22"/>
                <w:szCs w:val="22"/>
              </w:rPr>
              <w:t xml:space="preserve">3. </w:t>
            </w:r>
            <w:r w:rsidR="00EE60F9" w:rsidRPr="001E16DD">
              <w:rPr>
                <w:bCs/>
                <w:spacing w:val="-2"/>
                <w:sz w:val="22"/>
                <w:szCs w:val="22"/>
              </w:rPr>
              <w:t>Perimant sutartis nuomininkus iš anksto supažindinti su Turto banko sutarčių pakeitimo šablonais, informuoti apie TB tvarkas, kuriomis vadovaujantis bus skaičiuojamas nuomos ir komunaliniai mokesčiai bei taip anksto skatinti nuomininkų bendradarbiavimą</w:t>
            </w:r>
            <w:r w:rsidR="0094047F">
              <w:rPr>
                <w:bCs/>
                <w:spacing w:val="-2"/>
                <w:sz w:val="22"/>
                <w:szCs w:val="22"/>
              </w:rPr>
              <w:t xml:space="preserve"> bei kaip galima greičiau nustatyti sutartinius nuomos santykius</w:t>
            </w:r>
            <w:r w:rsidR="00EE60F9" w:rsidRPr="001E16DD">
              <w:rPr>
                <w:bCs/>
                <w:spacing w:val="-2"/>
                <w:sz w:val="22"/>
                <w:szCs w:val="22"/>
              </w:rPr>
              <w:t>.</w:t>
            </w:r>
          </w:p>
        </w:tc>
      </w:tr>
      <w:tr w:rsidR="005A1371" w:rsidRPr="004A3362" w14:paraId="09D51F97" w14:textId="77777777" w:rsidTr="00FA7102">
        <w:trPr>
          <w:trHeight w:val="487"/>
        </w:trPr>
        <w:tc>
          <w:tcPr>
            <w:tcW w:w="4962" w:type="dxa"/>
          </w:tcPr>
          <w:p w14:paraId="11AA86C7" w14:textId="3CBFC39C" w:rsidR="005A1371" w:rsidRDefault="00371A4F" w:rsidP="00EF2B0C">
            <w:pPr>
              <w:rPr>
                <w:b/>
              </w:rPr>
            </w:pPr>
            <w:r>
              <w:rPr>
                <w:b/>
              </w:rPr>
              <w:lastRenderedPageBreak/>
              <w:t>6</w:t>
            </w:r>
            <w:r w:rsidR="00870FDD">
              <w:rPr>
                <w:b/>
              </w:rPr>
              <w:t xml:space="preserve">. </w:t>
            </w:r>
            <w:r w:rsidR="005A1371">
              <w:rPr>
                <w:b/>
              </w:rPr>
              <w:t>Kitos pastabos</w:t>
            </w:r>
          </w:p>
        </w:tc>
        <w:tc>
          <w:tcPr>
            <w:tcW w:w="5245" w:type="dxa"/>
          </w:tcPr>
          <w:p w14:paraId="076AD8FB" w14:textId="77777777" w:rsidR="005A1371" w:rsidRPr="006B7D31" w:rsidRDefault="009C751B" w:rsidP="00F100A7">
            <w:pPr>
              <w:pStyle w:val="Sraopastraipa"/>
              <w:ind w:left="0"/>
              <w:contextualSpacing w:val="0"/>
              <w:jc w:val="both"/>
              <w:rPr>
                <w:sz w:val="22"/>
                <w:szCs w:val="22"/>
              </w:rPr>
            </w:pPr>
            <w:r w:rsidRPr="006B7D31">
              <w:rPr>
                <w:sz w:val="22"/>
                <w:szCs w:val="22"/>
              </w:rPr>
              <w:t>Sudarant sutartis pagal Nuomos be konkurso procesą, korupcijos rizikos veiksnių nenustatyta.</w:t>
            </w:r>
          </w:p>
          <w:p w14:paraId="27A6829D" w14:textId="77777777" w:rsidR="004B2719" w:rsidRPr="006B7D31" w:rsidRDefault="004B2719" w:rsidP="00F100A7">
            <w:pPr>
              <w:pStyle w:val="Sraopastraipa"/>
              <w:ind w:left="0"/>
              <w:contextualSpacing w:val="0"/>
              <w:jc w:val="both"/>
              <w:rPr>
                <w:sz w:val="22"/>
                <w:szCs w:val="22"/>
              </w:rPr>
            </w:pPr>
          </w:p>
          <w:p w14:paraId="69AB166B" w14:textId="624C6408" w:rsidR="009C751B" w:rsidRPr="006B7D31" w:rsidRDefault="00543498" w:rsidP="00F100A7">
            <w:pPr>
              <w:pStyle w:val="Sraopastraipa"/>
              <w:ind w:left="0"/>
              <w:contextualSpacing w:val="0"/>
              <w:jc w:val="both"/>
              <w:rPr>
                <w:sz w:val="22"/>
                <w:szCs w:val="22"/>
              </w:rPr>
            </w:pPr>
            <w:r w:rsidRPr="006B7D31">
              <w:rPr>
                <w:sz w:val="22"/>
                <w:szCs w:val="22"/>
              </w:rPr>
              <w:t>Sudarant sutartis pagal Viešo nuomos konkurso procesą, korupcijos rizikos veiksnių nenustatyta.</w:t>
            </w:r>
          </w:p>
          <w:p w14:paraId="5855A497" w14:textId="77777777" w:rsidR="00F100A7" w:rsidRDefault="00F100A7" w:rsidP="00F100A7">
            <w:pPr>
              <w:jc w:val="both"/>
              <w:rPr>
                <w:iCs/>
                <w:sz w:val="22"/>
                <w:szCs w:val="22"/>
              </w:rPr>
            </w:pPr>
          </w:p>
          <w:p w14:paraId="435F272B" w14:textId="0AF4FC24" w:rsidR="00F100A7" w:rsidRDefault="00F100A7" w:rsidP="00F100A7">
            <w:pPr>
              <w:jc w:val="both"/>
              <w:rPr>
                <w:iCs/>
                <w:sz w:val="22"/>
                <w:szCs w:val="22"/>
              </w:rPr>
            </w:pPr>
            <w:r>
              <w:rPr>
                <w:iCs/>
                <w:sz w:val="22"/>
                <w:szCs w:val="22"/>
              </w:rPr>
              <w:t>A</w:t>
            </w:r>
            <w:r w:rsidRPr="00F100A7">
              <w:rPr>
                <w:iCs/>
                <w:sz w:val="22"/>
                <w:szCs w:val="22"/>
              </w:rPr>
              <w:t>nalizuojamu laikotarpiu sudarant naujas panaudos sutartis jos buvo sudarytos tik vadovaujantis Lietuvos Respublikos Vyriausybės 2022 m. kovo 16 d. nutarimu Nr. 224 „Dėl laikinosios apsaugos Lietuvos Respublikoje užsieniečiams suteikimo“,  o korupcijos rizikos veiksnių nenustatyta.</w:t>
            </w:r>
          </w:p>
          <w:p w14:paraId="75E3AC1A" w14:textId="77777777" w:rsidR="00F100A7" w:rsidRDefault="00F100A7" w:rsidP="00F100A7">
            <w:pPr>
              <w:jc w:val="both"/>
              <w:rPr>
                <w:iCs/>
                <w:sz w:val="22"/>
                <w:szCs w:val="22"/>
              </w:rPr>
            </w:pPr>
          </w:p>
          <w:p w14:paraId="56014587" w14:textId="414E5A1C" w:rsidR="000B5476" w:rsidRPr="006B7D31" w:rsidRDefault="004B2719" w:rsidP="00F100A7">
            <w:pPr>
              <w:jc w:val="both"/>
              <w:rPr>
                <w:spacing w:val="-2"/>
                <w:sz w:val="22"/>
                <w:szCs w:val="22"/>
              </w:rPr>
            </w:pPr>
            <w:r w:rsidRPr="006B7D31">
              <w:rPr>
                <w:iCs/>
                <w:sz w:val="22"/>
                <w:szCs w:val="22"/>
              </w:rPr>
              <w:t xml:space="preserve">Administruojant ankščiau sudarytas panaudos sutartis  korupcijos </w:t>
            </w:r>
            <w:r w:rsidRPr="006B7D31">
              <w:rPr>
                <w:spacing w:val="-2"/>
                <w:sz w:val="22"/>
                <w:szCs w:val="22"/>
              </w:rPr>
              <w:t>rizikos veiksnių nenustatyta.</w:t>
            </w:r>
          </w:p>
        </w:tc>
      </w:tr>
      <w:tr w:rsidR="008F3405" w:rsidRPr="004A3362" w14:paraId="699B6E66" w14:textId="77777777" w:rsidTr="00FA7102">
        <w:trPr>
          <w:trHeight w:val="487"/>
        </w:trPr>
        <w:tc>
          <w:tcPr>
            <w:tcW w:w="4962" w:type="dxa"/>
          </w:tcPr>
          <w:p w14:paraId="0F58141B" w14:textId="178CC15F" w:rsidR="008F3405" w:rsidRDefault="00371A4F" w:rsidP="00EF2B0C">
            <w:pPr>
              <w:rPr>
                <w:b/>
              </w:rPr>
            </w:pPr>
            <w:r>
              <w:rPr>
                <w:b/>
              </w:rPr>
              <w:t>7</w:t>
            </w:r>
            <w:r w:rsidR="00870FDD">
              <w:rPr>
                <w:b/>
              </w:rPr>
              <w:t xml:space="preserve">. </w:t>
            </w:r>
            <w:r w:rsidR="008F3405">
              <w:rPr>
                <w:b/>
              </w:rPr>
              <w:t>Priedai</w:t>
            </w:r>
          </w:p>
        </w:tc>
        <w:tc>
          <w:tcPr>
            <w:tcW w:w="5245" w:type="dxa"/>
          </w:tcPr>
          <w:p w14:paraId="34DE5305" w14:textId="2ADC7519" w:rsidR="007E0321" w:rsidRPr="0057695E" w:rsidRDefault="007E0321" w:rsidP="00CC411F">
            <w:pPr>
              <w:widowControl w:val="0"/>
              <w:suppressAutoHyphens/>
              <w:jc w:val="both"/>
              <w:textAlignment w:val="baseline"/>
              <w:rPr>
                <w:bCs/>
                <w:spacing w:val="-2"/>
                <w:sz w:val="22"/>
                <w:szCs w:val="22"/>
              </w:rPr>
            </w:pPr>
            <w:r w:rsidRPr="0057695E">
              <w:rPr>
                <w:sz w:val="22"/>
                <w:szCs w:val="22"/>
              </w:rPr>
              <w:t xml:space="preserve">1 priedas - </w:t>
            </w:r>
            <w:r w:rsidRPr="0057695E">
              <w:rPr>
                <w:bCs/>
                <w:spacing w:val="-2"/>
                <w:sz w:val="22"/>
                <w:szCs w:val="22"/>
              </w:rPr>
              <w:t>Informacijos surinkimas ir jos analizė</w:t>
            </w:r>
            <w:r w:rsidR="00CC411F" w:rsidRPr="0057695E">
              <w:rPr>
                <w:bCs/>
                <w:spacing w:val="-2"/>
                <w:sz w:val="22"/>
                <w:szCs w:val="22"/>
              </w:rPr>
              <w:t xml:space="preserve"> </w:t>
            </w:r>
            <w:r w:rsidR="007B1AC5" w:rsidRPr="0057695E">
              <w:rPr>
                <w:bCs/>
                <w:spacing w:val="-2"/>
                <w:sz w:val="22"/>
                <w:szCs w:val="22"/>
              </w:rPr>
              <w:t>(19 puslapių);</w:t>
            </w:r>
          </w:p>
          <w:p w14:paraId="6F7C05E4" w14:textId="6A07E907" w:rsidR="0057695E" w:rsidRDefault="0057695E" w:rsidP="0057695E">
            <w:pPr>
              <w:widowControl w:val="0"/>
              <w:suppressAutoHyphens/>
              <w:jc w:val="both"/>
              <w:textAlignment w:val="baseline"/>
              <w:rPr>
                <w:bCs/>
                <w:spacing w:val="-2"/>
                <w:sz w:val="22"/>
                <w:szCs w:val="22"/>
              </w:rPr>
            </w:pPr>
            <w:r w:rsidRPr="0057695E">
              <w:rPr>
                <w:bCs/>
                <w:spacing w:val="-2"/>
                <w:sz w:val="22"/>
                <w:szCs w:val="22"/>
              </w:rPr>
              <w:t>2 priedas - Išnagrinėtų teisės aktų sąrašas ir nuorodos</w:t>
            </w:r>
            <w:r w:rsidR="00947850">
              <w:rPr>
                <w:bCs/>
                <w:spacing w:val="-2"/>
                <w:sz w:val="22"/>
                <w:szCs w:val="22"/>
              </w:rPr>
              <w:t xml:space="preserve"> (2 puslapiai)</w:t>
            </w:r>
            <w:r w:rsidRPr="0057695E">
              <w:rPr>
                <w:bCs/>
                <w:spacing w:val="-2"/>
                <w:sz w:val="22"/>
                <w:szCs w:val="22"/>
              </w:rPr>
              <w:t>;</w:t>
            </w:r>
          </w:p>
          <w:p w14:paraId="46711943" w14:textId="1310B84A" w:rsidR="00085B8D" w:rsidRPr="00085B8D" w:rsidRDefault="00085B8D" w:rsidP="00085B8D">
            <w:pPr>
              <w:jc w:val="both"/>
              <w:rPr>
                <w:b/>
                <w:sz w:val="22"/>
                <w:szCs w:val="22"/>
              </w:rPr>
            </w:pPr>
            <w:r w:rsidRPr="00085B8D">
              <w:rPr>
                <w:bCs/>
                <w:spacing w:val="-2"/>
                <w:sz w:val="22"/>
                <w:szCs w:val="22"/>
              </w:rPr>
              <w:t xml:space="preserve">3 priedas - </w:t>
            </w:r>
            <w:r w:rsidRPr="00085B8D">
              <w:rPr>
                <w:bCs/>
                <w:sz w:val="22"/>
                <w:szCs w:val="22"/>
              </w:rPr>
              <w:t>Su analizuojamos veiklos sritimi susijusių subjektų grupių sąrašas ir jų privačių interesų, didinančių korupcijos pasireiškimo tikimybę, sąrašas</w:t>
            </w:r>
            <w:r w:rsidR="00194790">
              <w:rPr>
                <w:bCs/>
                <w:sz w:val="22"/>
                <w:szCs w:val="22"/>
              </w:rPr>
              <w:t xml:space="preserve"> (1 puslapis)</w:t>
            </w:r>
            <w:r>
              <w:rPr>
                <w:bCs/>
                <w:sz w:val="22"/>
                <w:szCs w:val="22"/>
              </w:rPr>
              <w:t>;</w:t>
            </w:r>
          </w:p>
          <w:p w14:paraId="4107F6FF" w14:textId="391E6A60" w:rsidR="008F3405" w:rsidRPr="00566BD1" w:rsidRDefault="00E23519" w:rsidP="00F100A7">
            <w:pPr>
              <w:tabs>
                <w:tab w:val="center" w:pos="4819"/>
                <w:tab w:val="right" w:pos="9638"/>
              </w:tabs>
              <w:jc w:val="both"/>
              <w:rPr>
                <w:szCs w:val="22"/>
              </w:rPr>
            </w:pPr>
            <w:r w:rsidRPr="00A5296B">
              <w:rPr>
                <w:bCs/>
                <w:sz w:val="22"/>
                <w:szCs w:val="22"/>
              </w:rPr>
              <w:t xml:space="preserve">4 priedas - </w:t>
            </w:r>
            <w:r w:rsidRPr="00A5296B">
              <w:rPr>
                <w:bCs/>
                <w:iCs/>
                <w:sz w:val="22"/>
                <w:szCs w:val="22"/>
              </w:rPr>
              <w:t>VĮ Turto banko valstybei perduotino turto administravimo ir realizavimo veiklos srityse STT išvadoje pateiktų rekomendacijų stebėsenos metu nustatytos ir esamos situacijos palyginimas</w:t>
            </w:r>
            <w:r w:rsidR="00A5296B" w:rsidRPr="00A5296B">
              <w:rPr>
                <w:bCs/>
                <w:iCs/>
                <w:sz w:val="22"/>
                <w:szCs w:val="22"/>
              </w:rPr>
              <w:t>.</w:t>
            </w:r>
          </w:p>
        </w:tc>
      </w:tr>
      <w:tr w:rsidR="00EF2B0C" w:rsidRPr="004A3362" w14:paraId="0570AED7" w14:textId="77777777" w:rsidTr="00FA7102">
        <w:trPr>
          <w:trHeight w:val="487"/>
        </w:trPr>
        <w:tc>
          <w:tcPr>
            <w:tcW w:w="4962" w:type="dxa"/>
          </w:tcPr>
          <w:p w14:paraId="0696C3BF" w14:textId="58638C48" w:rsidR="00EF2B0C" w:rsidRDefault="00EF2B0C" w:rsidP="00EF2B0C">
            <w:pPr>
              <w:rPr>
                <w:b/>
              </w:rPr>
            </w:pPr>
            <w:r>
              <w:rPr>
                <w:b/>
              </w:rPr>
              <w:t>Išvadą parengęs asmuo</w:t>
            </w:r>
            <w:r w:rsidR="004070C4">
              <w:rPr>
                <w:b/>
              </w:rPr>
              <w:t>:</w:t>
            </w:r>
          </w:p>
          <w:p w14:paraId="10E88D8E" w14:textId="319A4AC2" w:rsidR="00EF2B0C" w:rsidRDefault="00EF2B0C" w:rsidP="00EF2B0C">
            <w:r w:rsidRPr="00EF2B0C">
              <w:t>(</w:t>
            </w:r>
            <w:r w:rsidR="00136A2C">
              <w:t>Vardas</w:t>
            </w:r>
            <w:r w:rsidR="00C4087C">
              <w:t xml:space="preserve"> ir</w:t>
            </w:r>
            <w:r w:rsidR="00136A2C">
              <w:t xml:space="preserve"> pavardė, </w:t>
            </w:r>
            <w:r w:rsidRPr="00EF2B0C">
              <w:t>pareigos)</w:t>
            </w:r>
          </w:p>
          <w:p w14:paraId="5A7A39AC" w14:textId="3366FC44" w:rsidR="00EF2B0C" w:rsidRPr="00EF2B0C" w:rsidRDefault="00EF2B0C" w:rsidP="00EF2B0C"/>
        </w:tc>
        <w:tc>
          <w:tcPr>
            <w:tcW w:w="5245" w:type="dxa"/>
          </w:tcPr>
          <w:p w14:paraId="53F16D0A" w14:textId="3732DC9D" w:rsidR="00EF2B0C" w:rsidRPr="00194790" w:rsidRDefault="00925D2A" w:rsidP="00925D2A">
            <w:pPr>
              <w:pStyle w:val="Sraopastraipa"/>
              <w:ind w:left="0" w:firstLine="360"/>
              <w:jc w:val="both"/>
              <w:rPr>
                <w:iCs/>
                <w:sz w:val="22"/>
                <w:szCs w:val="22"/>
              </w:rPr>
            </w:pPr>
            <w:r>
              <w:rPr>
                <w:iCs/>
                <w:sz w:val="22"/>
                <w:szCs w:val="22"/>
              </w:rPr>
              <w:t>Turto banko Saugos ir prevencijos skyriaus vadovas Darius Zasas</w:t>
            </w:r>
          </w:p>
          <w:p w14:paraId="4AE6C6ED" w14:textId="77777777" w:rsidR="00EF2B0C" w:rsidRPr="00EF2B0C" w:rsidRDefault="00EF2B0C" w:rsidP="00EF2B0C">
            <w:pPr>
              <w:pStyle w:val="Sraopastraipa"/>
              <w:ind w:left="0" w:firstLine="360"/>
              <w:jc w:val="center"/>
              <w:rPr>
                <w:i/>
                <w:sz w:val="20"/>
                <w:szCs w:val="20"/>
              </w:rPr>
            </w:pPr>
          </w:p>
          <w:p w14:paraId="1E037372" w14:textId="5CC02FAA" w:rsidR="00EF2B0C" w:rsidRPr="00EF2B0C" w:rsidRDefault="00EF2B0C" w:rsidP="00EF2B0C">
            <w:pPr>
              <w:pStyle w:val="Sraopastraipa"/>
              <w:ind w:left="0" w:firstLine="360"/>
              <w:jc w:val="center"/>
              <w:rPr>
                <w:i/>
                <w:sz w:val="20"/>
                <w:szCs w:val="20"/>
              </w:rPr>
            </w:pPr>
            <w:r w:rsidRPr="00EF2B0C">
              <w:rPr>
                <w:i/>
                <w:sz w:val="20"/>
                <w:szCs w:val="20"/>
              </w:rPr>
              <w:t>(parašas)</w:t>
            </w:r>
          </w:p>
        </w:tc>
      </w:tr>
    </w:tbl>
    <w:p w14:paraId="3BD53447" w14:textId="33D380B4" w:rsidR="00295D0A" w:rsidRDefault="00B84AE8" w:rsidP="00185C0E">
      <w:pPr>
        <w:jc w:val="center"/>
        <w:rPr>
          <w:szCs w:val="22"/>
        </w:rPr>
      </w:pPr>
      <w:r>
        <w:t>_____________________________</w:t>
      </w:r>
    </w:p>
    <w:sectPr w:rsidR="00295D0A" w:rsidSect="004F0CBA">
      <w:headerReference w:type="default" r:id="rId8"/>
      <w:headerReference w:type="first" r:id="rId9"/>
      <w:pgSz w:w="11906" w:h="16838"/>
      <w:pgMar w:top="992" w:right="282"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1947" w14:textId="77777777" w:rsidR="004F0CBA" w:rsidRDefault="004F0CBA" w:rsidP="008C7C9A">
      <w:r>
        <w:separator/>
      </w:r>
    </w:p>
  </w:endnote>
  <w:endnote w:type="continuationSeparator" w:id="0">
    <w:p w14:paraId="2944045A" w14:textId="77777777" w:rsidR="004F0CBA" w:rsidRDefault="004F0CBA" w:rsidP="008C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3F2E" w14:textId="77777777" w:rsidR="004F0CBA" w:rsidRDefault="004F0CBA" w:rsidP="008C7C9A">
      <w:r>
        <w:separator/>
      </w:r>
    </w:p>
  </w:footnote>
  <w:footnote w:type="continuationSeparator" w:id="0">
    <w:p w14:paraId="7F03D150" w14:textId="77777777" w:rsidR="004F0CBA" w:rsidRDefault="004F0CBA" w:rsidP="008C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783932"/>
      <w:docPartObj>
        <w:docPartGallery w:val="Page Numbers (Top of Page)"/>
        <w:docPartUnique/>
      </w:docPartObj>
    </w:sdtPr>
    <w:sdtEndPr/>
    <w:sdtContent>
      <w:p w14:paraId="58AF098B" w14:textId="1BC008BB" w:rsidR="006803DC" w:rsidRDefault="006803DC">
        <w:pPr>
          <w:pStyle w:val="Antrats"/>
          <w:jc w:val="center"/>
        </w:pPr>
        <w:r>
          <w:fldChar w:fldCharType="begin"/>
        </w:r>
        <w:r>
          <w:instrText>PAGE   \* MERGEFORMAT</w:instrText>
        </w:r>
        <w:r>
          <w:fldChar w:fldCharType="separate"/>
        </w:r>
        <w:r w:rsidR="00495944">
          <w:rPr>
            <w:noProof/>
          </w:rPr>
          <w:t>2</w:t>
        </w:r>
        <w:r>
          <w:fldChar w:fldCharType="end"/>
        </w:r>
      </w:p>
    </w:sdtContent>
  </w:sdt>
  <w:p w14:paraId="6EE25C60" w14:textId="77777777" w:rsidR="006803DC" w:rsidRDefault="006803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3119" w14:textId="3899C71F" w:rsidR="007C34E9" w:rsidRPr="0028461F" w:rsidRDefault="007C34E9" w:rsidP="00FA7102">
    <w:pPr>
      <w:ind w:left="5529"/>
    </w:pPr>
    <w:r w:rsidRPr="0028461F">
      <w:t>PATVIRTINTA</w:t>
    </w:r>
  </w:p>
  <w:p w14:paraId="226A71E9" w14:textId="77777777" w:rsidR="007C34E9" w:rsidRPr="0028461F" w:rsidRDefault="007C34E9" w:rsidP="00FA7102">
    <w:pPr>
      <w:ind w:left="5529"/>
    </w:pPr>
    <w:r w:rsidRPr="0028461F">
      <w:t xml:space="preserve">VĮ Turto banko generalinio direktoriaus  </w:t>
    </w:r>
  </w:p>
  <w:p w14:paraId="68A0CBB6" w14:textId="6C80296E" w:rsidR="007C34E9" w:rsidRDefault="00FA7102" w:rsidP="00FA7102">
    <w:pPr>
      <w:ind w:left="5529" w:hanging="141"/>
    </w:pPr>
    <w:r>
      <w:t xml:space="preserve">   </w:t>
    </w:r>
    <w:r w:rsidR="007C34E9" w:rsidRPr="0028461F">
      <w:t>202</w:t>
    </w:r>
    <w:r>
      <w:t>4</w:t>
    </w:r>
    <w:r w:rsidR="007C34E9" w:rsidRPr="0028461F">
      <w:t xml:space="preserve"> m. </w:t>
    </w:r>
    <w:r w:rsidR="001C5320">
      <w:t>sausio</w:t>
    </w:r>
    <w:r w:rsidR="007C34E9" w:rsidRPr="0028461F">
      <w:t xml:space="preserve"> </w:t>
    </w:r>
    <w:r w:rsidR="007C34E9">
      <w:t>___</w:t>
    </w:r>
    <w:r w:rsidR="007C34E9" w:rsidRPr="0028461F">
      <w:t xml:space="preserve"> d. įsakymu Nr. P1-</w:t>
    </w:r>
    <w:r>
      <w:t>_</w:t>
    </w:r>
  </w:p>
  <w:p w14:paraId="2F87883C" w14:textId="7BB3FDAC" w:rsidR="00FD3BE5" w:rsidRPr="0092182E" w:rsidRDefault="00FD3BE5" w:rsidP="00FA7102">
    <w:pPr>
      <w:pStyle w:val="Antrats"/>
      <w:tabs>
        <w:tab w:val="left" w:pos="4395"/>
      </w:tabs>
      <w:ind w:left="55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31F"/>
    <w:multiLevelType w:val="hybridMultilevel"/>
    <w:tmpl w:val="41804180"/>
    <w:lvl w:ilvl="0" w:tplc="A680F5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8624B"/>
    <w:multiLevelType w:val="hybridMultilevel"/>
    <w:tmpl w:val="AD307B36"/>
    <w:lvl w:ilvl="0" w:tplc="4D0A0B44">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D1026F5"/>
    <w:multiLevelType w:val="hybridMultilevel"/>
    <w:tmpl w:val="1A62951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06D3050"/>
    <w:multiLevelType w:val="hybridMultilevel"/>
    <w:tmpl w:val="4A3086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0940027"/>
    <w:multiLevelType w:val="multilevel"/>
    <w:tmpl w:val="D2AE1C00"/>
    <w:lvl w:ilvl="0">
      <w:start w:val="1"/>
      <w:numFmt w:val="decimal"/>
      <w:lvlText w:val="%1."/>
      <w:lvlJc w:val="left"/>
      <w:pPr>
        <w:ind w:left="4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2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203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61" w:hanging="1440"/>
      </w:pPr>
      <w:rPr>
        <w:rFonts w:hint="default"/>
      </w:rPr>
    </w:lvl>
    <w:lvl w:ilvl="8">
      <w:start w:val="1"/>
      <w:numFmt w:val="decimal"/>
      <w:isLgl/>
      <w:lvlText w:val="%1.%2.%3.%4.%5.%6.%7.%8.%9."/>
      <w:lvlJc w:val="left"/>
      <w:pPr>
        <w:ind w:left="3644" w:hanging="1800"/>
      </w:pPr>
      <w:rPr>
        <w:rFonts w:hint="default"/>
      </w:rPr>
    </w:lvl>
  </w:abstractNum>
  <w:abstractNum w:abstractNumId="5" w15:restartNumberingAfterBreak="0">
    <w:nsid w:val="29E876EB"/>
    <w:multiLevelType w:val="multilevel"/>
    <w:tmpl w:val="C82840FE"/>
    <w:lvl w:ilvl="0">
      <w:start w:val="1"/>
      <w:numFmt w:val="decimal"/>
      <w:lvlText w:val="%1."/>
      <w:lvlJc w:val="left"/>
      <w:pPr>
        <w:ind w:left="644"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2B756F0B"/>
    <w:multiLevelType w:val="hybridMultilevel"/>
    <w:tmpl w:val="A4D05006"/>
    <w:lvl w:ilvl="0" w:tplc="830616F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A5B71BC"/>
    <w:multiLevelType w:val="multilevel"/>
    <w:tmpl w:val="C82840FE"/>
    <w:lvl w:ilvl="0">
      <w:start w:val="1"/>
      <w:numFmt w:val="decimal"/>
      <w:lvlText w:val="%1."/>
      <w:lvlJc w:val="left"/>
      <w:pPr>
        <w:ind w:left="644"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3D6A56D1"/>
    <w:multiLevelType w:val="hybridMultilevel"/>
    <w:tmpl w:val="542EE1DE"/>
    <w:lvl w:ilvl="0" w:tplc="90CEA95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EA21B6A"/>
    <w:multiLevelType w:val="hybridMultilevel"/>
    <w:tmpl w:val="AA18E2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56F02A2"/>
    <w:multiLevelType w:val="hybridMultilevel"/>
    <w:tmpl w:val="DAAA6782"/>
    <w:lvl w:ilvl="0" w:tplc="ECD0A404">
      <w:start w:val="1"/>
      <w:numFmt w:val="decimal"/>
      <w:lvlText w:val="%1."/>
      <w:lvlJc w:val="left"/>
      <w:pPr>
        <w:ind w:left="611" w:hanging="360"/>
      </w:pPr>
    </w:lvl>
    <w:lvl w:ilvl="1" w:tplc="04270019">
      <w:start w:val="1"/>
      <w:numFmt w:val="lowerLetter"/>
      <w:lvlText w:val="%2."/>
      <w:lvlJc w:val="left"/>
      <w:pPr>
        <w:ind w:left="1331" w:hanging="360"/>
      </w:pPr>
    </w:lvl>
    <w:lvl w:ilvl="2" w:tplc="0427001B">
      <w:start w:val="1"/>
      <w:numFmt w:val="lowerRoman"/>
      <w:lvlText w:val="%3."/>
      <w:lvlJc w:val="right"/>
      <w:pPr>
        <w:ind w:left="2051" w:hanging="180"/>
      </w:pPr>
    </w:lvl>
    <w:lvl w:ilvl="3" w:tplc="0427000F">
      <w:start w:val="1"/>
      <w:numFmt w:val="decimal"/>
      <w:lvlText w:val="%4."/>
      <w:lvlJc w:val="left"/>
      <w:pPr>
        <w:ind w:left="2771" w:hanging="360"/>
      </w:pPr>
    </w:lvl>
    <w:lvl w:ilvl="4" w:tplc="04270019">
      <w:start w:val="1"/>
      <w:numFmt w:val="lowerLetter"/>
      <w:lvlText w:val="%5."/>
      <w:lvlJc w:val="left"/>
      <w:pPr>
        <w:ind w:left="3491" w:hanging="360"/>
      </w:pPr>
    </w:lvl>
    <w:lvl w:ilvl="5" w:tplc="0427001B">
      <w:start w:val="1"/>
      <w:numFmt w:val="lowerRoman"/>
      <w:lvlText w:val="%6."/>
      <w:lvlJc w:val="right"/>
      <w:pPr>
        <w:ind w:left="4211" w:hanging="180"/>
      </w:pPr>
    </w:lvl>
    <w:lvl w:ilvl="6" w:tplc="0427000F">
      <w:start w:val="1"/>
      <w:numFmt w:val="decimal"/>
      <w:lvlText w:val="%7."/>
      <w:lvlJc w:val="left"/>
      <w:pPr>
        <w:ind w:left="4931" w:hanging="360"/>
      </w:pPr>
    </w:lvl>
    <w:lvl w:ilvl="7" w:tplc="04270019">
      <w:start w:val="1"/>
      <w:numFmt w:val="lowerLetter"/>
      <w:lvlText w:val="%8."/>
      <w:lvlJc w:val="left"/>
      <w:pPr>
        <w:ind w:left="5651" w:hanging="360"/>
      </w:pPr>
    </w:lvl>
    <w:lvl w:ilvl="8" w:tplc="0427001B">
      <w:start w:val="1"/>
      <w:numFmt w:val="lowerRoman"/>
      <w:lvlText w:val="%9."/>
      <w:lvlJc w:val="right"/>
      <w:pPr>
        <w:ind w:left="6371" w:hanging="180"/>
      </w:pPr>
    </w:lvl>
  </w:abstractNum>
  <w:abstractNum w:abstractNumId="11" w15:restartNumberingAfterBreak="0">
    <w:nsid w:val="47FC4AF4"/>
    <w:multiLevelType w:val="multilevel"/>
    <w:tmpl w:val="C82840FE"/>
    <w:lvl w:ilvl="0">
      <w:start w:val="1"/>
      <w:numFmt w:val="decimal"/>
      <w:lvlText w:val="%1."/>
      <w:lvlJc w:val="left"/>
      <w:pPr>
        <w:ind w:left="644"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4B2B68B5"/>
    <w:multiLevelType w:val="hybridMultilevel"/>
    <w:tmpl w:val="C540D9DA"/>
    <w:lvl w:ilvl="0" w:tplc="FF1EB030">
      <w:start w:val="1"/>
      <w:numFmt w:val="decimal"/>
      <w:lvlText w:val="%1."/>
      <w:lvlJc w:val="left"/>
      <w:pPr>
        <w:ind w:left="720" w:hanging="360"/>
      </w:pPr>
      <w:rPr>
        <w:rFonts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D6904D8"/>
    <w:multiLevelType w:val="hybridMultilevel"/>
    <w:tmpl w:val="450C6D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D57E72"/>
    <w:multiLevelType w:val="hybridMultilevel"/>
    <w:tmpl w:val="6F58FAE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536D3226"/>
    <w:multiLevelType w:val="hybridMultilevel"/>
    <w:tmpl w:val="4DEE2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7F345CB"/>
    <w:multiLevelType w:val="hybridMultilevel"/>
    <w:tmpl w:val="20362E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7F4736C"/>
    <w:multiLevelType w:val="hybridMultilevel"/>
    <w:tmpl w:val="4C3617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DFF3DFB"/>
    <w:multiLevelType w:val="hybridMultilevel"/>
    <w:tmpl w:val="EC9A7B5A"/>
    <w:lvl w:ilvl="0" w:tplc="4DF0645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E4BD3"/>
    <w:multiLevelType w:val="hybridMultilevel"/>
    <w:tmpl w:val="AA18E2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FC66009"/>
    <w:multiLevelType w:val="hybridMultilevel"/>
    <w:tmpl w:val="EC1202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C3A0290"/>
    <w:multiLevelType w:val="hybridMultilevel"/>
    <w:tmpl w:val="4B1834B8"/>
    <w:lvl w:ilvl="0" w:tplc="D94CEC1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557C8"/>
    <w:multiLevelType w:val="hybridMultilevel"/>
    <w:tmpl w:val="302EC4FC"/>
    <w:lvl w:ilvl="0" w:tplc="82124EF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953EAF"/>
    <w:multiLevelType w:val="hybridMultilevel"/>
    <w:tmpl w:val="0C30DD7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464732295">
    <w:abstractNumId w:val="6"/>
  </w:num>
  <w:num w:numId="2" w16cid:durableId="1009680300">
    <w:abstractNumId w:val="20"/>
  </w:num>
  <w:num w:numId="3" w16cid:durableId="317807130">
    <w:abstractNumId w:val="4"/>
  </w:num>
  <w:num w:numId="4" w16cid:durableId="15073301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659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015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649202">
    <w:abstractNumId w:val="7"/>
  </w:num>
  <w:num w:numId="8" w16cid:durableId="54934427">
    <w:abstractNumId w:val="5"/>
  </w:num>
  <w:num w:numId="9" w16cid:durableId="200672060">
    <w:abstractNumId w:val="11"/>
  </w:num>
  <w:num w:numId="10" w16cid:durableId="1356344103">
    <w:abstractNumId w:val="15"/>
  </w:num>
  <w:num w:numId="11" w16cid:durableId="1838224308">
    <w:abstractNumId w:val="13"/>
  </w:num>
  <w:num w:numId="12" w16cid:durableId="2048021706">
    <w:abstractNumId w:val="19"/>
  </w:num>
  <w:num w:numId="13" w16cid:durableId="1918829107">
    <w:abstractNumId w:val="9"/>
  </w:num>
  <w:num w:numId="14" w16cid:durableId="72245143">
    <w:abstractNumId w:val="16"/>
  </w:num>
  <w:num w:numId="15" w16cid:durableId="1339966456">
    <w:abstractNumId w:val="17"/>
  </w:num>
  <w:num w:numId="16" w16cid:durableId="1847090909">
    <w:abstractNumId w:val="2"/>
  </w:num>
  <w:num w:numId="17" w16cid:durableId="515733225">
    <w:abstractNumId w:val="12"/>
  </w:num>
  <w:num w:numId="18" w16cid:durableId="1336762910">
    <w:abstractNumId w:val="1"/>
  </w:num>
  <w:num w:numId="19" w16cid:durableId="1651862539">
    <w:abstractNumId w:val="3"/>
  </w:num>
  <w:num w:numId="20" w16cid:durableId="1511604882">
    <w:abstractNumId w:val="8"/>
  </w:num>
  <w:num w:numId="21" w16cid:durableId="863714278">
    <w:abstractNumId w:val="18"/>
  </w:num>
  <w:num w:numId="22" w16cid:durableId="2128772116">
    <w:abstractNumId w:val="0"/>
  </w:num>
  <w:num w:numId="23" w16cid:durableId="1707220388">
    <w:abstractNumId w:val="21"/>
  </w:num>
  <w:num w:numId="24" w16cid:durableId="12173998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27"/>
    <w:rsid w:val="0000116F"/>
    <w:rsid w:val="00002A68"/>
    <w:rsid w:val="00002D26"/>
    <w:rsid w:val="000033C3"/>
    <w:rsid w:val="00004E06"/>
    <w:rsid w:val="000053FD"/>
    <w:rsid w:val="00012F24"/>
    <w:rsid w:val="00013FC6"/>
    <w:rsid w:val="0001579D"/>
    <w:rsid w:val="00015D73"/>
    <w:rsid w:val="00020C7E"/>
    <w:rsid w:val="000222CB"/>
    <w:rsid w:val="000226D3"/>
    <w:rsid w:val="00023B4B"/>
    <w:rsid w:val="00025F26"/>
    <w:rsid w:val="0002770C"/>
    <w:rsid w:val="0003007C"/>
    <w:rsid w:val="000311A3"/>
    <w:rsid w:val="0003170B"/>
    <w:rsid w:val="00033371"/>
    <w:rsid w:val="00033910"/>
    <w:rsid w:val="00035FB4"/>
    <w:rsid w:val="00037484"/>
    <w:rsid w:val="000408BF"/>
    <w:rsid w:val="000423C3"/>
    <w:rsid w:val="00045EF6"/>
    <w:rsid w:val="00053816"/>
    <w:rsid w:val="00055CCB"/>
    <w:rsid w:val="0006092F"/>
    <w:rsid w:val="00060DDC"/>
    <w:rsid w:val="00062672"/>
    <w:rsid w:val="0006339C"/>
    <w:rsid w:val="00066BB9"/>
    <w:rsid w:val="00067F9A"/>
    <w:rsid w:val="0007247D"/>
    <w:rsid w:val="0007416E"/>
    <w:rsid w:val="00081615"/>
    <w:rsid w:val="00084343"/>
    <w:rsid w:val="00085B8D"/>
    <w:rsid w:val="00085FD8"/>
    <w:rsid w:val="000962B8"/>
    <w:rsid w:val="000A014A"/>
    <w:rsid w:val="000A19F1"/>
    <w:rsid w:val="000A5929"/>
    <w:rsid w:val="000B448C"/>
    <w:rsid w:val="000B5476"/>
    <w:rsid w:val="000B6048"/>
    <w:rsid w:val="000B6F98"/>
    <w:rsid w:val="000B749D"/>
    <w:rsid w:val="000C0E81"/>
    <w:rsid w:val="000C191B"/>
    <w:rsid w:val="000C2726"/>
    <w:rsid w:val="000C360E"/>
    <w:rsid w:val="000C6AB6"/>
    <w:rsid w:val="000D625D"/>
    <w:rsid w:val="000E325C"/>
    <w:rsid w:val="000E4361"/>
    <w:rsid w:val="000E54D6"/>
    <w:rsid w:val="000E6802"/>
    <w:rsid w:val="000E7322"/>
    <w:rsid w:val="000F06CA"/>
    <w:rsid w:val="000F3210"/>
    <w:rsid w:val="000F3F30"/>
    <w:rsid w:val="000F5DFA"/>
    <w:rsid w:val="000F67AE"/>
    <w:rsid w:val="000F7FAD"/>
    <w:rsid w:val="00100908"/>
    <w:rsid w:val="00101D02"/>
    <w:rsid w:val="00102AF9"/>
    <w:rsid w:val="001039EB"/>
    <w:rsid w:val="001102D7"/>
    <w:rsid w:val="00110FF0"/>
    <w:rsid w:val="00116265"/>
    <w:rsid w:val="001203ED"/>
    <w:rsid w:val="00121298"/>
    <w:rsid w:val="0012529D"/>
    <w:rsid w:val="001258A1"/>
    <w:rsid w:val="00130A20"/>
    <w:rsid w:val="00136A2C"/>
    <w:rsid w:val="00137CF7"/>
    <w:rsid w:val="00140282"/>
    <w:rsid w:val="001437E1"/>
    <w:rsid w:val="00155493"/>
    <w:rsid w:val="00156163"/>
    <w:rsid w:val="00156D01"/>
    <w:rsid w:val="00156E7E"/>
    <w:rsid w:val="00160C01"/>
    <w:rsid w:val="00160C57"/>
    <w:rsid w:val="00162A1A"/>
    <w:rsid w:val="001641A5"/>
    <w:rsid w:val="00164A15"/>
    <w:rsid w:val="00166E8B"/>
    <w:rsid w:val="00167927"/>
    <w:rsid w:val="001679E6"/>
    <w:rsid w:val="00172BC3"/>
    <w:rsid w:val="00173754"/>
    <w:rsid w:val="001808A9"/>
    <w:rsid w:val="001840D5"/>
    <w:rsid w:val="00184680"/>
    <w:rsid w:val="00185C0E"/>
    <w:rsid w:val="00190119"/>
    <w:rsid w:val="0019105E"/>
    <w:rsid w:val="00192B2A"/>
    <w:rsid w:val="00194790"/>
    <w:rsid w:val="00195BE0"/>
    <w:rsid w:val="0019686F"/>
    <w:rsid w:val="001A023F"/>
    <w:rsid w:val="001A07FB"/>
    <w:rsid w:val="001A2DBA"/>
    <w:rsid w:val="001A42D0"/>
    <w:rsid w:val="001A587E"/>
    <w:rsid w:val="001A737C"/>
    <w:rsid w:val="001B0BC4"/>
    <w:rsid w:val="001B0F85"/>
    <w:rsid w:val="001B18A4"/>
    <w:rsid w:val="001B1962"/>
    <w:rsid w:val="001B358D"/>
    <w:rsid w:val="001B5E4C"/>
    <w:rsid w:val="001B74F5"/>
    <w:rsid w:val="001B77FA"/>
    <w:rsid w:val="001C18E1"/>
    <w:rsid w:val="001C1F52"/>
    <w:rsid w:val="001C5022"/>
    <w:rsid w:val="001C5320"/>
    <w:rsid w:val="001C5DD4"/>
    <w:rsid w:val="001C63F3"/>
    <w:rsid w:val="001C7ED3"/>
    <w:rsid w:val="001D34FF"/>
    <w:rsid w:val="001D3894"/>
    <w:rsid w:val="001D3EF8"/>
    <w:rsid w:val="001D4462"/>
    <w:rsid w:val="001D5DFC"/>
    <w:rsid w:val="001E062A"/>
    <w:rsid w:val="001E16DD"/>
    <w:rsid w:val="001E228C"/>
    <w:rsid w:val="001E6325"/>
    <w:rsid w:val="001F19CC"/>
    <w:rsid w:val="001F2E34"/>
    <w:rsid w:val="001F3C9B"/>
    <w:rsid w:val="001F44D4"/>
    <w:rsid w:val="001F5A50"/>
    <w:rsid w:val="001F6B17"/>
    <w:rsid w:val="002033D0"/>
    <w:rsid w:val="00204867"/>
    <w:rsid w:val="002051EE"/>
    <w:rsid w:val="002158F0"/>
    <w:rsid w:val="00216940"/>
    <w:rsid w:val="0021710B"/>
    <w:rsid w:val="00217BE1"/>
    <w:rsid w:val="0022098B"/>
    <w:rsid w:val="00222584"/>
    <w:rsid w:val="00224B69"/>
    <w:rsid w:val="00226FD7"/>
    <w:rsid w:val="002306CE"/>
    <w:rsid w:val="00232276"/>
    <w:rsid w:val="002328D2"/>
    <w:rsid w:val="00233853"/>
    <w:rsid w:val="00235ACB"/>
    <w:rsid w:val="00236194"/>
    <w:rsid w:val="00237CD1"/>
    <w:rsid w:val="00240953"/>
    <w:rsid w:val="0024153C"/>
    <w:rsid w:val="002441EE"/>
    <w:rsid w:val="00244F75"/>
    <w:rsid w:val="00245111"/>
    <w:rsid w:val="002468BE"/>
    <w:rsid w:val="00246EB5"/>
    <w:rsid w:val="00247B23"/>
    <w:rsid w:val="002514DC"/>
    <w:rsid w:val="00252183"/>
    <w:rsid w:val="00252473"/>
    <w:rsid w:val="00253BD1"/>
    <w:rsid w:val="00256852"/>
    <w:rsid w:val="00265D3F"/>
    <w:rsid w:val="00271870"/>
    <w:rsid w:val="002735B4"/>
    <w:rsid w:val="00273937"/>
    <w:rsid w:val="00273F90"/>
    <w:rsid w:val="002747E7"/>
    <w:rsid w:val="00277E09"/>
    <w:rsid w:val="002830E1"/>
    <w:rsid w:val="0028532F"/>
    <w:rsid w:val="00285695"/>
    <w:rsid w:val="00285A0B"/>
    <w:rsid w:val="00290F40"/>
    <w:rsid w:val="00292176"/>
    <w:rsid w:val="00295796"/>
    <w:rsid w:val="00295D0A"/>
    <w:rsid w:val="00296076"/>
    <w:rsid w:val="002963DD"/>
    <w:rsid w:val="002A159F"/>
    <w:rsid w:val="002A1C10"/>
    <w:rsid w:val="002A1EAF"/>
    <w:rsid w:val="002A2923"/>
    <w:rsid w:val="002A6F8F"/>
    <w:rsid w:val="002B05AE"/>
    <w:rsid w:val="002B0690"/>
    <w:rsid w:val="002B0728"/>
    <w:rsid w:val="002B0864"/>
    <w:rsid w:val="002B4AAA"/>
    <w:rsid w:val="002B5E27"/>
    <w:rsid w:val="002B6FC8"/>
    <w:rsid w:val="002C4DC8"/>
    <w:rsid w:val="002C5351"/>
    <w:rsid w:val="002C582E"/>
    <w:rsid w:val="002C7E7E"/>
    <w:rsid w:val="002D096A"/>
    <w:rsid w:val="002D31BD"/>
    <w:rsid w:val="002D7007"/>
    <w:rsid w:val="002E0320"/>
    <w:rsid w:val="002E0CA7"/>
    <w:rsid w:val="002E1434"/>
    <w:rsid w:val="002E69BE"/>
    <w:rsid w:val="002E7A94"/>
    <w:rsid w:val="002F0AAD"/>
    <w:rsid w:val="002F4C5D"/>
    <w:rsid w:val="002F4FFD"/>
    <w:rsid w:val="002F5B3C"/>
    <w:rsid w:val="002F7A11"/>
    <w:rsid w:val="003016E8"/>
    <w:rsid w:val="003043E9"/>
    <w:rsid w:val="0030560B"/>
    <w:rsid w:val="00310258"/>
    <w:rsid w:val="003112A8"/>
    <w:rsid w:val="00312E83"/>
    <w:rsid w:val="003158F2"/>
    <w:rsid w:val="00321220"/>
    <w:rsid w:val="0032193B"/>
    <w:rsid w:val="00323F50"/>
    <w:rsid w:val="00324714"/>
    <w:rsid w:val="00324A7B"/>
    <w:rsid w:val="003268C7"/>
    <w:rsid w:val="00327F95"/>
    <w:rsid w:val="003305B1"/>
    <w:rsid w:val="0033157D"/>
    <w:rsid w:val="00342132"/>
    <w:rsid w:val="00342262"/>
    <w:rsid w:val="00345111"/>
    <w:rsid w:val="003465F8"/>
    <w:rsid w:val="0034682E"/>
    <w:rsid w:val="00346F88"/>
    <w:rsid w:val="00347AA0"/>
    <w:rsid w:val="003500F0"/>
    <w:rsid w:val="003502F5"/>
    <w:rsid w:val="00350EE2"/>
    <w:rsid w:val="003523DE"/>
    <w:rsid w:val="003565CC"/>
    <w:rsid w:val="00357985"/>
    <w:rsid w:val="00357AA0"/>
    <w:rsid w:val="00357E2D"/>
    <w:rsid w:val="00357F7E"/>
    <w:rsid w:val="00363EA5"/>
    <w:rsid w:val="003657C0"/>
    <w:rsid w:val="00366987"/>
    <w:rsid w:val="003671E9"/>
    <w:rsid w:val="00367DCF"/>
    <w:rsid w:val="00370387"/>
    <w:rsid w:val="00371A4F"/>
    <w:rsid w:val="00375AC6"/>
    <w:rsid w:val="00375DCF"/>
    <w:rsid w:val="00382C2B"/>
    <w:rsid w:val="00384305"/>
    <w:rsid w:val="00385EA8"/>
    <w:rsid w:val="0038648B"/>
    <w:rsid w:val="00387124"/>
    <w:rsid w:val="00390D03"/>
    <w:rsid w:val="00391B38"/>
    <w:rsid w:val="0039242C"/>
    <w:rsid w:val="003931BF"/>
    <w:rsid w:val="003954A5"/>
    <w:rsid w:val="00396530"/>
    <w:rsid w:val="00397B8B"/>
    <w:rsid w:val="003A50DC"/>
    <w:rsid w:val="003A5DD6"/>
    <w:rsid w:val="003A6090"/>
    <w:rsid w:val="003A6F5E"/>
    <w:rsid w:val="003A768D"/>
    <w:rsid w:val="003B08EB"/>
    <w:rsid w:val="003B0AA6"/>
    <w:rsid w:val="003B1688"/>
    <w:rsid w:val="003B2A4A"/>
    <w:rsid w:val="003B3FC9"/>
    <w:rsid w:val="003B4199"/>
    <w:rsid w:val="003B4CB8"/>
    <w:rsid w:val="003B6F79"/>
    <w:rsid w:val="003B70BF"/>
    <w:rsid w:val="003B7380"/>
    <w:rsid w:val="003B7615"/>
    <w:rsid w:val="003C0769"/>
    <w:rsid w:val="003C5438"/>
    <w:rsid w:val="003C6CE6"/>
    <w:rsid w:val="003D40D5"/>
    <w:rsid w:val="003D5F9A"/>
    <w:rsid w:val="003D65D8"/>
    <w:rsid w:val="003D662C"/>
    <w:rsid w:val="003D7D40"/>
    <w:rsid w:val="003E0C79"/>
    <w:rsid w:val="003E2397"/>
    <w:rsid w:val="003E4342"/>
    <w:rsid w:val="003F0043"/>
    <w:rsid w:val="003F1624"/>
    <w:rsid w:val="003F1876"/>
    <w:rsid w:val="003F2026"/>
    <w:rsid w:val="003F4A21"/>
    <w:rsid w:val="003F542B"/>
    <w:rsid w:val="003F6B90"/>
    <w:rsid w:val="003F7BA9"/>
    <w:rsid w:val="004028DE"/>
    <w:rsid w:val="00403147"/>
    <w:rsid w:val="00403BD4"/>
    <w:rsid w:val="004070C4"/>
    <w:rsid w:val="00411729"/>
    <w:rsid w:val="004141C5"/>
    <w:rsid w:val="00414D90"/>
    <w:rsid w:val="00415EFB"/>
    <w:rsid w:val="00422CD4"/>
    <w:rsid w:val="004248B6"/>
    <w:rsid w:val="004256BC"/>
    <w:rsid w:val="004256DB"/>
    <w:rsid w:val="0042757F"/>
    <w:rsid w:val="004276AC"/>
    <w:rsid w:val="0043066A"/>
    <w:rsid w:val="00432964"/>
    <w:rsid w:val="00433F3D"/>
    <w:rsid w:val="00434C51"/>
    <w:rsid w:val="004367F8"/>
    <w:rsid w:val="0044710D"/>
    <w:rsid w:val="00447B9C"/>
    <w:rsid w:val="00450F86"/>
    <w:rsid w:val="00455E12"/>
    <w:rsid w:val="004564A8"/>
    <w:rsid w:val="00456820"/>
    <w:rsid w:val="00457206"/>
    <w:rsid w:val="00457B75"/>
    <w:rsid w:val="00462CAD"/>
    <w:rsid w:val="00465A3E"/>
    <w:rsid w:val="00465CEC"/>
    <w:rsid w:val="00467257"/>
    <w:rsid w:val="00470759"/>
    <w:rsid w:val="0047598B"/>
    <w:rsid w:val="00476787"/>
    <w:rsid w:val="00477BFB"/>
    <w:rsid w:val="00477E11"/>
    <w:rsid w:val="004816F0"/>
    <w:rsid w:val="00481A3A"/>
    <w:rsid w:val="0048434C"/>
    <w:rsid w:val="004879F6"/>
    <w:rsid w:val="00494432"/>
    <w:rsid w:val="00495944"/>
    <w:rsid w:val="00496A5D"/>
    <w:rsid w:val="00497869"/>
    <w:rsid w:val="004A3362"/>
    <w:rsid w:val="004A34F3"/>
    <w:rsid w:val="004A3B67"/>
    <w:rsid w:val="004B0BBE"/>
    <w:rsid w:val="004B2719"/>
    <w:rsid w:val="004B2DAA"/>
    <w:rsid w:val="004C4B0C"/>
    <w:rsid w:val="004C4EC9"/>
    <w:rsid w:val="004C6C69"/>
    <w:rsid w:val="004D05A9"/>
    <w:rsid w:val="004D2DCE"/>
    <w:rsid w:val="004D4D30"/>
    <w:rsid w:val="004D6732"/>
    <w:rsid w:val="004D677F"/>
    <w:rsid w:val="004E4077"/>
    <w:rsid w:val="004E4756"/>
    <w:rsid w:val="004E6BFA"/>
    <w:rsid w:val="004E7302"/>
    <w:rsid w:val="004F0CBA"/>
    <w:rsid w:val="004F4AEA"/>
    <w:rsid w:val="004F4CF6"/>
    <w:rsid w:val="004F7C0A"/>
    <w:rsid w:val="004F7D7C"/>
    <w:rsid w:val="005004FE"/>
    <w:rsid w:val="0050115E"/>
    <w:rsid w:val="005016CF"/>
    <w:rsid w:val="00503972"/>
    <w:rsid w:val="00504915"/>
    <w:rsid w:val="00506EB0"/>
    <w:rsid w:val="00510427"/>
    <w:rsid w:val="0051366D"/>
    <w:rsid w:val="005147B7"/>
    <w:rsid w:val="00516160"/>
    <w:rsid w:val="005164EB"/>
    <w:rsid w:val="00516CE8"/>
    <w:rsid w:val="00516E9B"/>
    <w:rsid w:val="00517D77"/>
    <w:rsid w:val="00525528"/>
    <w:rsid w:val="00526DE1"/>
    <w:rsid w:val="00526FA3"/>
    <w:rsid w:val="00537788"/>
    <w:rsid w:val="00540234"/>
    <w:rsid w:val="005407BE"/>
    <w:rsid w:val="00543126"/>
    <w:rsid w:val="00543498"/>
    <w:rsid w:val="00544A09"/>
    <w:rsid w:val="00544FB8"/>
    <w:rsid w:val="005450C0"/>
    <w:rsid w:val="005512DA"/>
    <w:rsid w:val="0055337F"/>
    <w:rsid w:val="005533BF"/>
    <w:rsid w:val="00553F22"/>
    <w:rsid w:val="00554786"/>
    <w:rsid w:val="00554B97"/>
    <w:rsid w:val="00555E1B"/>
    <w:rsid w:val="00556F89"/>
    <w:rsid w:val="00562208"/>
    <w:rsid w:val="005641C4"/>
    <w:rsid w:val="0056567D"/>
    <w:rsid w:val="00566BD1"/>
    <w:rsid w:val="00566C9F"/>
    <w:rsid w:val="005717B3"/>
    <w:rsid w:val="00573F7B"/>
    <w:rsid w:val="0057400F"/>
    <w:rsid w:val="00575A9E"/>
    <w:rsid w:val="0057695E"/>
    <w:rsid w:val="0058187D"/>
    <w:rsid w:val="0058602B"/>
    <w:rsid w:val="00586225"/>
    <w:rsid w:val="005911C3"/>
    <w:rsid w:val="005942EC"/>
    <w:rsid w:val="0059454F"/>
    <w:rsid w:val="0059468A"/>
    <w:rsid w:val="005958D9"/>
    <w:rsid w:val="00595D46"/>
    <w:rsid w:val="005967CC"/>
    <w:rsid w:val="005A1371"/>
    <w:rsid w:val="005A24AD"/>
    <w:rsid w:val="005A5261"/>
    <w:rsid w:val="005A58FA"/>
    <w:rsid w:val="005B1473"/>
    <w:rsid w:val="005B15AF"/>
    <w:rsid w:val="005C23F7"/>
    <w:rsid w:val="005C39E6"/>
    <w:rsid w:val="005C4C83"/>
    <w:rsid w:val="005D0773"/>
    <w:rsid w:val="005D2C6A"/>
    <w:rsid w:val="005D4075"/>
    <w:rsid w:val="005D7210"/>
    <w:rsid w:val="005D7522"/>
    <w:rsid w:val="005E1BD1"/>
    <w:rsid w:val="005E350D"/>
    <w:rsid w:val="005E3C54"/>
    <w:rsid w:val="005E3C5E"/>
    <w:rsid w:val="005E538C"/>
    <w:rsid w:val="005F025C"/>
    <w:rsid w:val="005F1C0C"/>
    <w:rsid w:val="005F215E"/>
    <w:rsid w:val="005F2AEB"/>
    <w:rsid w:val="005F5F95"/>
    <w:rsid w:val="005F7C5E"/>
    <w:rsid w:val="00600138"/>
    <w:rsid w:val="00600873"/>
    <w:rsid w:val="0060122C"/>
    <w:rsid w:val="00601D16"/>
    <w:rsid w:val="00602440"/>
    <w:rsid w:val="006040E4"/>
    <w:rsid w:val="00605BF7"/>
    <w:rsid w:val="006071FE"/>
    <w:rsid w:val="0061018A"/>
    <w:rsid w:val="00610C42"/>
    <w:rsid w:val="00612B95"/>
    <w:rsid w:val="00612DE1"/>
    <w:rsid w:val="0061375C"/>
    <w:rsid w:val="00615575"/>
    <w:rsid w:val="00620AD9"/>
    <w:rsid w:val="006211AC"/>
    <w:rsid w:val="00622056"/>
    <w:rsid w:val="0062242F"/>
    <w:rsid w:val="00622CB0"/>
    <w:rsid w:val="00625649"/>
    <w:rsid w:val="006262FE"/>
    <w:rsid w:val="00627339"/>
    <w:rsid w:val="00630BBB"/>
    <w:rsid w:val="00632ABB"/>
    <w:rsid w:val="00635F98"/>
    <w:rsid w:val="00637293"/>
    <w:rsid w:val="00642CFD"/>
    <w:rsid w:val="00643079"/>
    <w:rsid w:val="006435DB"/>
    <w:rsid w:val="0064370D"/>
    <w:rsid w:val="00643972"/>
    <w:rsid w:val="00647485"/>
    <w:rsid w:val="0065208E"/>
    <w:rsid w:val="006548D6"/>
    <w:rsid w:val="00670DAF"/>
    <w:rsid w:val="00671C2C"/>
    <w:rsid w:val="00671FB7"/>
    <w:rsid w:val="006733B0"/>
    <w:rsid w:val="00674533"/>
    <w:rsid w:val="00675840"/>
    <w:rsid w:val="006803DC"/>
    <w:rsid w:val="006815B5"/>
    <w:rsid w:val="006839FC"/>
    <w:rsid w:val="006855A4"/>
    <w:rsid w:val="006860F3"/>
    <w:rsid w:val="00686F0B"/>
    <w:rsid w:val="00686F3F"/>
    <w:rsid w:val="006879B2"/>
    <w:rsid w:val="006930E5"/>
    <w:rsid w:val="006A00DA"/>
    <w:rsid w:val="006A1BF2"/>
    <w:rsid w:val="006A253B"/>
    <w:rsid w:val="006A75F7"/>
    <w:rsid w:val="006B1DEC"/>
    <w:rsid w:val="006B3238"/>
    <w:rsid w:val="006B4131"/>
    <w:rsid w:val="006B4E3A"/>
    <w:rsid w:val="006B63B6"/>
    <w:rsid w:val="006B738E"/>
    <w:rsid w:val="006B73CC"/>
    <w:rsid w:val="006B7D31"/>
    <w:rsid w:val="006C2B2C"/>
    <w:rsid w:val="006C4B64"/>
    <w:rsid w:val="006C5F5A"/>
    <w:rsid w:val="006C70FD"/>
    <w:rsid w:val="006C7EC0"/>
    <w:rsid w:val="006D0FF2"/>
    <w:rsid w:val="006D4636"/>
    <w:rsid w:val="006D625F"/>
    <w:rsid w:val="006D68AA"/>
    <w:rsid w:val="006D6F1C"/>
    <w:rsid w:val="006E1D97"/>
    <w:rsid w:val="006E2040"/>
    <w:rsid w:val="006E4C0E"/>
    <w:rsid w:val="006E7DB7"/>
    <w:rsid w:val="006F0F38"/>
    <w:rsid w:val="006F1914"/>
    <w:rsid w:val="006F31FE"/>
    <w:rsid w:val="007008C3"/>
    <w:rsid w:val="00702F4D"/>
    <w:rsid w:val="00704F42"/>
    <w:rsid w:val="0070538C"/>
    <w:rsid w:val="007061F8"/>
    <w:rsid w:val="007074F6"/>
    <w:rsid w:val="00707AAF"/>
    <w:rsid w:val="00711719"/>
    <w:rsid w:val="00711C11"/>
    <w:rsid w:val="007128FE"/>
    <w:rsid w:val="0071397E"/>
    <w:rsid w:val="007175AE"/>
    <w:rsid w:val="00717DE3"/>
    <w:rsid w:val="00720D08"/>
    <w:rsid w:val="007210E2"/>
    <w:rsid w:val="007244B5"/>
    <w:rsid w:val="007264F6"/>
    <w:rsid w:val="00727F2B"/>
    <w:rsid w:val="00731EA3"/>
    <w:rsid w:val="007337DD"/>
    <w:rsid w:val="00734D5B"/>
    <w:rsid w:val="00737468"/>
    <w:rsid w:val="00737E8F"/>
    <w:rsid w:val="00740E07"/>
    <w:rsid w:val="0074218B"/>
    <w:rsid w:val="00742C79"/>
    <w:rsid w:val="00743BEE"/>
    <w:rsid w:val="00746154"/>
    <w:rsid w:val="00746FBE"/>
    <w:rsid w:val="00751B39"/>
    <w:rsid w:val="00752D12"/>
    <w:rsid w:val="00753179"/>
    <w:rsid w:val="007539C0"/>
    <w:rsid w:val="0077100E"/>
    <w:rsid w:val="0077158D"/>
    <w:rsid w:val="00771AA2"/>
    <w:rsid w:val="00780311"/>
    <w:rsid w:val="0078069D"/>
    <w:rsid w:val="00781096"/>
    <w:rsid w:val="00781885"/>
    <w:rsid w:val="0078218A"/>
    <w:rsid w:val="007838AE"/>
    <w:rsid w:val="00785BB8"/>
    <w:rsid w:val="00785DA7"/>
    <w:rsid w:val="00785E60"/>
    <w:rsid w:val="00786218"/>
    <w:rsid w:val="00786AA7"/>
    <w:rsid w:val="007934D4"/>
    <w:rsid w:val="00793632"/>
    <w:rsid w:val="00794286"/>
    <w:rsid w:val="00796145"/>
    <w:rsid w:val="007974E4"/>
    <w:rsid w:val="00797D8B"/>
    <w:rsid w:val="007A1A94"/>
    <w:rsid w:val="007B1AC5"/>
    <w:rsid w:val="007B5925"/>
    <w:rsid w:val="007B7594"/>
    <w:rsid w:val="007C07D7"/>
    <w:rsid w:val="007C0C05"/>
    <w:rsid w:val="007C1DA4"/>
    <w:rsid w:val="007C34E9"/>
    <w:rsid w:val="007C35DA"/>
    <w:rsid w:val="007C4118"/>
    <w:rsid w:val="007C4D72"/>
    <w:rsid w:val="007C549C"/>
    <w:rsid w:val="007C568F"/>
    <w:rsid w:val="007D30BB"/>
    <w:rsid w:val="007D44F9"/>
    <w:rsid w:val="007D52C3"/>
    <w:rsid w:val="007E0321"/>
    <w:rsid w:val="007E204C"/>
    <w:rsid w:val="007E2777"/>
    <w:rsid w:val="007E305B"/>
    <w:rsid w:val="007E7C9F"/>
    <w:rsid w:val="007F078F"/>
    <w:rsid w:val="007F1940"/>
    <w:rsid w:val="007F1C62"/>
    <w:rsid w:val="007F6F11"/>
    <w:rsid w:val="007F7FF3"/>
    <w:rsid w:val="008001BE"/>
    <w:rsid w:val="00802FF4"/>
    <w:rsid w:val="00806D35"/>
    <w:rsid w:val="00810B8A"/>
    <w:rsid w:val="00811A14"/>
    <w:rsid w:val="00812728"/>
    <w:rsid w:val="00814B8B"/>
    <w:rsid w:val="008176C8"/>
    <w:rsid w:val="0082051E"/>
    <w:rsid w:val="008214C2"/>
    <w:rsid w:val="00821584"/>
    <w:rsid w:val="00823DCA"/>
    <w:rsid w:val="00826171"/>
    <w:rsid w:val="00831F69"/>
    <w:rsid w:val="008333E3"/>
    <w:rsid w:val="00833C64"/>
    <w:rsid w:val="008349EA"/>
    <w:rsid w:val="0083649A"/>
    <w:rsid w:val="00836F76"/>
    <w:rsid w:val="00840235"/>
    <w:rsid w:val="00845379"/>
    <w:rsid w:val="00845579"/>
    <w:rsid w:val="0084607F"/>
    <w:rsid w:val="0084758C"/>
    <w:rsid w:val="008517EE"/>
    <w:rsid w:val="00851899"/>
    <w:rsid w:val="00852E40"/>
    <w:rsid w:val="00853B2D"/>
    <w:rsid w:val="00855427"/>
    <w:rsid w:val="00860A1F"/>
    <w:rsid w:val="00860A34"/>
    <w:rsid w:val="00862F4D"/>
    <w:rsid w:val="008632D2"/>
    <w:rsid w:val="0086701E"/>
    <w:rsid w:val="00870592"/>
    <w:rsid w:val="00870FDD"/>
    <w:rsid w:val="00871A9F"/>
    <w:rsid w:val="00872056"/>
    <w:rsid w:val="00873090"/>
    <w:rsid w:val="008735F8"/>
    <w:rsid w:val="00874668"/>
    <w:rsid w:val="00875DB1"/>
    <w:rsid w:val="00875EA9"/>
    <w:rsid w:val="00875F23"/>
    <w:rsid w:val="00876B87"/>
    <w:rsid w:val="008832CF"/>
    <w:rsid w:val="00885031"/>
    <w:rsid w:val="00885BE7"/>
    <w:rsid w:val="0088798B"/>
    <w:rsid w:val="00887F8A"/>
    <w:rsid w:val="0089098D"/>
    <w:rsid w:val="00890CA8"/>
    <w:rsid w:val="00890F32"/>
    <w:rsid w:val="008915BA"/>
    <w:rsid w:val="00894665"/>
    <w:rsid w:val="00894819"/>
    <w:rsid w:val="0089649B"/>
    <w:rsid w:val="00896F94"/>
    <w:rsid w:val="008973AD"/>
    <w:rsid w:val="00897872"/>
    <w:rsid w:val="008A459B"/>
    <w:rsid w:val="008A4B97"/>
    <w:rsid w:val="008A4C5F"/>
    <w:rsid w:val="008A4DED"/>
    <w:rsid w:val="008B075B"/>
    <w:rsid w:val="008B2103"/>
    <w:rsid w:val="008B3837"/>
    <w:rsid w:val="008B4C8B"/>
    <w:rsid w:val="008C4618"/>
    <w:rsid w:val="008C5598"/>
    <w:rsid w:val="008C6A04"/>
    <w:rsid w:val="008C7C9A"/>
    <w:rsid w:val="008D6544"/>
    <w:rsid w:val="008D73E9"/>
    <w:rsid w:val="008D7FDE"/>
    <w:rsid w:val="008E0BD0"/>
    <w:rsid w:val="008E10FF"/>
    <w:rsid w:val="008E3573"/>
    <w:rsid w:val="008E4AE9"/>
    <w:rsid w:val="008E6BAF"/>
    <w:rsid w:val="008F1D39"/>
    <w:rsid w:val="008F3405"/>
    <w:rsid w:val="008F389D"/>
    <w:rsid w:val="008F40BA"/>
    <w:rsid w:val="008F7586"/>
    <w:rsid w:val="00901DAA"/>
    <w:rsid w:val="0090292F"/>
    <w:rsid w:val="00903E57"/>
    <w:rsid w:val="00903F40"/>
    <w:rsid w:val="009061CE"/>
    <w:rsid w:val="00907524"/>
    <w:rsid w:val="00907A61"/>
    <w:rsid w:val="009154F6"/>
    <w:rsid w:val="00915B8C"/>
    <w:rsid w:val="009234AA"/>
    <w:rsid w:val="00924375"/>
    <w:rsid w:val="00925AF2"/>
    <w:rsid w:val="00925D2A"/>
    <w:rsid w:val="0093052E"/>
    <w:rsid w:val="00931933"/>
    <w:rsid w:val="009328FA"/>
    <w:rsid w:val="00933289"/>
    <w:rsid w:val="00934F38"/>
    <w:rsid w:val="00935832"/>
    <w:rsid w:val="00936895"/>
    <w:rsid w:val="009377F5"/>
    <w:rsid w:val="0094047F"/>
    <w:rsid w:val="00941E5F"/>
    <w:rsid w:val="009436D2"/>
    <w:rsid w:val="00947312"/>
    <w:rsid w:val="00947850"/>
    <w:rsid w:val="00951422"/>
    <w:rsid w:val="009528CF"/>
    <w:rsid w:val="009536A0"/>
    <w:rsid w:val="00954056"/>
    <w:rsid w:val="0095579E"/>
    <w:rsid w:val="00956193"/>
    <w:rsid w:val="00961C5A"/>
    <w:rsid w:val="00963734"/>
    <w:rsid w:val="00964347"/>
    <w:rsid w:val="00964D79"/>
    <w:rsid w:val="00965422"/>
    <w:rsid w:val="00966ECE"/>
    <w:rsid w:val="00967EBF"/>
    <w:rsid w:val="009712FF"/>
    <w:rsid w:val="009732D1"/>
    <w:rsid w:val="00974D01"/>
    <w:rsid w:val="00974F03"/>
    <w:rsid w:val="00976255"/>
    <w:rsid w:val="00977975"/>
    <w:rsid w:val="00983DD0"/>
    <w:rsid w:val="00986A61"/>
    <w:rsid w:val="00990D95"/>
    <w:rsid w:val="0099222B"/>
    <w:rsid w:val="00996F5B"/>
    <w:rsid w:val="009A0C9E"/>
    <w:rsid w:val="009A1931"/>
    <w:rsid w:val="009A196A"/>
    <w:rsid w:val="009A34F1"/>
    <w:rsid w:val="009A3DB4"/>
    <w:rsid w:val="009B2D46"/>
    <w:rsid w:val="009B3B7A"/>
    <w:rsid w:val="009B48A9"/>
    <w:rsid w:val="009B498E"/>
    <w:rsid w:val="009C1CE7"/>
    <w:rsid w:val="009C23DB"/>
    <w:rsid w:val="009C5CCB"/>
    <w:rsid w:val="009C72A3"/>
    <w:rsid w:val="009C751B"/>
    <w:rsid w:val="009C7E4F"/>
    <w:rsid w:val="009D1D42"/>
    <w:rsid w:val="009D22F3"/>
    <w:rsid w:val="009D2E95"/>
    <w:rsid w:val="009D313B"/>
    <w:rsid w:val="009D33C4"/>
    <w:rsid w:val="009D373A"/>
    <w:rsid w:val="009D5E4E"/>
    <w:rsid w:val="009D7B31"/>
    <w:rsid w:val="009E1F7F"/>
    <w:rsid w:val="009E2D4D"/>
    <w:rsid w:val="009E5CF6"/>
    <w:rsid w:val="009F0C6D"/>
    <w:rsid w:val="009F12B3"/>
    <w:rsid w:val="00A003F4"/>
    <w:rsid w:val="00A00C2B"/>
    <w:rsid w:val="00A01101"/>
    <w:rsid w:val="00A01513"/>
    <w:rsid w:val="00A01654"/>
    <w:rsid w:val="00A02E8C"/>
    <w:rsid w:val="00A0489C"/>
    <w:rsid w:val="00A06B31"/>
    <w:rsid w:val="00A134A5"/>
    <w:rsid w:val="00A136E7"/>
    <w:rsid w:val="00A139D9"/>
    <w:rsid w:val="00A16617"/>
    <w:rsid w:val="00A17F20"/>
    <w:rsid w:val="00A21C43"/>
    <w:rsid w:val="00A25159"/>
    <w:rsid w:val="00A25222"/>
    <w:rsid w:val="00A264C1"/>
    <w:rsid w:val="00A27D65"/>
    <w:rsid w:val="00A30189"/>
    <w:rsid w:val="00A310CA"/>
    <w:rsid w:val="00A32E11"/>
    <w:rsid w:val="00A33132"/>
    <w:rsid w:val="00A34B44"/>
    <w:rsid w:val="00A34EAC"/>
    <w:rsid w:val="00A363BA"/>
    <w:rsid w:val="00A36B9E"/>
    <w:rsid w:val="00A40545"/>
    <w:rsid w:val="00A4147A"/>
    <w:rsid w:val="00A4343E"/>
    <w:rsid w:val="00A44FD2"/>
    <w:rsid w:val="00A450BD"/>
    <w:rsid w:val="00A46283"/>
    <w:rsid w:val="00A46474"/>
    <w:rsid w:val="00A50958"/>
    <w:rsid w:val="00A5296B"/>
    <w:rsid w:val="00A5457B"/>
    <w:rsid w:val="00A57775"/>
    <w:rsid w:val="00A60CDC"/>
    <w:rsid w:val="00A85B68"/>
    <w:rsid w:val="00A866B5"/>
    <w:rsid w:val="00A90897"/>
    <w:rsid w:val="00A912A1"/>
    <w:rsid w:val="00A92497"/>
    <w:rsid w:val="00A94D80"/>
    <w:rsid w:val="00A95AD8"/>
    <w:rsid w:val="00A9759E"/>
    <w:rsid w:val="00AA0D82"/>
    <w:rsid w:val="00AA2BEF"/>
    <w:rsid w:val="00AA3B37"/>
    <w:rsid w:val="00AA3E55"/>
    <w:rsid w:val="00AA4A1F"/>
    <w:rsid w:val="00AA599B"/>
    <w:rsid w:val="00AA7D1F"/>
    <w:rsid w:val="00AB4295"/>
    <w:rsid w:val="00AB5D62"/>
    <w:rsid w:val="00AB716E"/>
    <w:rsid w:val="00AC1C91"/>
    <w:rsid w:val="00AC29E4"/>
    <w:rsid w:val="00AC3779"/>
    <w:rsid w:val="00AC52F7"/>
    <w:rsid w:val="00AC6737"/>
    <w:rsid w:val="00AD02C0"/>
    <w:rsid w:val="00AD329D"/>
    <w:rsid w:val="00AD3329"/>
    <w:rsid w:val="00AD3A17"/>
    <w:rsid w:val="00AD40DC"/>
    <w:rsid w:val="00AD4F71"/>
    <w:rsid w:val="00AE1F15"/>
    <w:rsid w:val="00AE24B4"/>
    <w:rsid w:val="00AE3125"/>
    <w:rsid w:val="00AE6F21"/>
    <w:rsid w:val="00AF0497"/>
    <w:rsid w:val="00AF0B90"/>
    <w:rsid w:val="00AF1323"/>
    <w:rsid w:val="00AF28B3"/>
    <w:rsid w:val="00AF410A"/>
    <w:rsid w:val="00AF5323"/>
    <w:rsid w:val="00AF6175"/>
    <w:rsid w:val="00B01199"/>
    <w:rsid w:val="00B05F22"/>
    <w:rsid w:val="00B07746"/>
    <w:rsid w:val="00B105BC"/>
    <w:rsid w:val="00B14532"/>
    <w:rsid w:val="00B20B18"/>
    <w:rsid w:val="00B2691A"/>
    <w:rsid w:val="00B30B42"/>
    <w:rsid w:val="00B32ED0"/>
    <w:rsid w:val="00B32F16"/>
    <w:rsid w:val="00B33089"/>
    <w:rsid w:val="00B33CCB"/>
    <w:rsid w:val="00B34324"/>
    <w:rsid w:val="00B42302"/>
    <w:rsid w:val="00B42570"/>
    <w:rsid w:val="00B43595"/>
    <w:rsid w:val="00B43F97"/>
    <w:rsid w:val="00B44401"/>
    <w:rsid w:val="00B4440F"/>
    <w:rsid w:val="00B44C11"/>
    <w:rsid w:val="00B45433"/>
    <w:rsid w:val="00B458CC"/>
    <w:rsid w:val="00B5080C"/>
    <w:rsid w:val="00B52489"/>
    <w:rsid w:val="00B52A9E"/>
    <w:rsid w:val="00B5321C"/>
    <w:rsid w:val="00B53C71"/>
    <w:rsid w:val="00B54384"/>
    <w:rsid w:val="00B56CA7"/>
    <w:rsid w:val="00B61509"/>
    <w:rsid w:val="00B61975"/>
    <w:rsid w:val="00B620F7"/>
    <w:rsid w:val="00B622FE"/>
    <w:rsid w:val="00B62487"/>
    <w:rsid w:val="00B6467F"/>
    <w:rsid w:val="00B65197"/>
    <w:rsid w:val="00B65500"/>
    <w:rsid w:val="00B65E9A"/>
    <w:rsid w:val="00B70231"/>
    <w:rsid w:val="00B71ADB"/>
    <w:rsid w:val="00B7377B"/>
    <w:rsid w:val="00B73A46"/>
    <w:rsid w:val="00B74862"/>
    <w:rsid w:val="00B80178"/>
    <w:rsid w:val="00B83C96"/>
    <w:rsid w:val="00B84AE8"/>
    <w:rsid w:val="00B84AEF"/>
    <w:rsid w:val="00B85656"/>
    <w:rsid w:val="00B856F4"/>
    <w:rsid w:val="00B85747"/>
    <w:rsid w:val="00B85C4E"/>
    <w:rsid w:val="00B85EFA"/>
    <w:rsid w:val="00B86131"/>
    <w:rsid w:val="00B867CA"/>
    <w:rsid w:val="00B9039C"/>
    <w:rsid w:val="00B92698"/>
    <w:rsid w:val="00B92A25"/>
    <w:rsid w:val="00B9423F"/>
    <w:rsid w:val="00B94FEC"/>
    <w:rsid w:val="00B95ECD"/>
    <w:rsid w:val="00BA053F"/>
    <w:rsid w:val="00BA0611"/>
    <w:rsid w:val="00BA0A72"/>
    <w:rsid w:val="00BA184A"/>
    <w:rsid w:val="00BA1BBB"/>
    <w:rsid w:val="00BA57A0"/>
    <w:rsid w:val="00BB0CDC"/>
    <w:rsid w:val="00BB26D4"/>
    <w:rsid w:val="00BB3472"/>
    <w:rsid w:val="00BB4BB4"/>
    <w:rsid w:val="00BB534F"/>
    <w:rsid w:val="00BB5BF1"/>
    <w:rsid w:val="00BB63BD"/>
    <w:rsid w:val="00BB70B1"/>
    <w:rsid w:val="00BB7C10"/>
    <w:rsid w:val="00BC24F4"/>
    <w:rsid w:val="00BC2A70"/>
    <w:rsid w:val="00BC36E1"/>
    <w:rsid w:val="00BD01E1"/>
    <w:rsid w:val="00BD198E"/>
    <w:rsid w:val="00BD19FF"/>
    <w:rsid w:val="00BD29B5"/>
    <w:rsid w:val="00BD5469"/>
    <w:rsid w:val="00BD7E19"/>
    <w:rsid w:val="00BE13DC"/>
    <w:rsid w:val="00BE43AB"/>
    <w:rsid w:val="00BE6C62"/>
    <w:rsid w:val="00BF0F7E"/>
    <w:rsid w:val="00BF1769"/>
    <w:rsid w:val="00BF3289"/>
    <w:rsid w:val="00BF35C6"/>
    <w:rsid w:val="00BF3B29"/>
    <w:rsid w:val="00BF4083"/>
    <w:rsid w:val="00BF481A"/>
    <w:rsid w:val="00BF6288"/>
    <w:rsid w:val="00BF6660"/>
    <w:rsid w:val="00C002B7"/>
    <w:rsid w:val="00C036BB"/>
    <w:rsid w:val="00C05675"/>
    <w:rsid w:val="00C06BC4"/>
    <w:rsid w:val="00C1174D"/>
    <w:rsid w:val="00C127D4"/>
    <w:rsid w:val="00C14BA0"/>
    <w:rsid w:val="00C15C10"/>
    <w:rsid w:val="00C169D1"/>
    <w:rsid w:val="00C1769A"/>
    <w:rsid w:val="00C20DB6"/>
    <w:rsid w:val="00C21EBE"/>
    <w:rsid w:val="00C2348B"/>
    <w:rsid w:val="00C23723"/>
    <w:rsid w:val="00C348E9"/>
    <w:rsid w:val="00C34AB9"/>
    <w:rsid w:val="00C34C03"/>
    <w:rsid w:val="00C35C1D"/>
    <w:rsid w:val="00C4087C"/>
    <w:rsid w:val="00C4600A"/>
    <w:rsid w:val="00C51D8F"/>
    <w:rsid w:val="00C62EA5"/>
    <w:rsid w:val="00C63174"/>
    <w:rsid w:val="00C634B6"/>
    <w:rsid w:val="00C6428C"/>
    <w:rsid w:val="00C64507"/>
    <w:rsid w:val="00C65330"/>
    <w:rsid w:val="00C72525"/>
    <w:rsid w:val="00C76B7E"/>
    <w:rsid w:val="00C830AC"/>
    <w:rsid w:val="00C83814"/>
    <w:rsid w:val="00C84330"/>
    <w:rsid w:val="00C854D0"/>
    <w:rsid w:val="00C86367"/>
    <w:rsid w:val="00C86CF0"/>
    <w:rsid w:val="00C877F6"/>
    <w:rsid w:val="00C879C7"/>
    <w:rsid w:val="00C93F6B"/>
    <w:rsid w:val="00C94AB7"/>
    <w:rsid w:val="00C94B9A"/>
    <w:rsid w:val="00C95D92"/>
    <w:rsid w:val="00C97750"/>
    <w:rsid w:val="00CA0A93"/>
    <w:rsid w:val="00CA20EE"/>
    <w:rsid w:val="00CA3BD6"/>
    <w:rsid w:val="00CA4CE7"/>
    <w:rsid w:val="00CA50CF"/>
    <w:rsid w:val="00CA601F"/>
    <w:rsid w:val="00CA6382"/>
    <w:rsid w:val="00CA65E2"/>
    <w:rsid w:val="00CB05C8"/>
    <w:rsid w:val="00CB782F"/>
    <w:rsid w:val="00CC23DE"/>
    <w:rsid w:val="00CC411F"/>
    <w:rsid w:val="00CC41AB"/>
    <w:rsid w:val="00CC4707"/>
    <w:rsid w:val="00CC744F"/>
    <w:rsid w:val="00CD08A5"/>
    <w:rsid w:val="00CD381A"/>
    <w:rsid w:val="00CD7C49"/>
    <w:rsid w:val="00CE048A"/>
    <w:rsid w:val="00CE1D1E"/>
    <w:rsid w:val="00CE3A22"/>
    <w:rsid w:val="00CE5CCB"/>
    <w:rsid w:val="00CE7A06"/>
    <w:rsid w:val="00CE7AAB"/>
    <w:rsid w:val="00CF032C"/>
    <w:rsid w:val="00CF06E4"/>
    <w:rsid w:val="00CF0B35"/>
    <w:rsid w:val="00CF1D6E"/>
    <w:rsid w:val="00CF2031"/>
    <w:rsid w:val="00CF43B3"/>
    <w:rsid w:val="00CF6A48"/>
    <w:rsid w:val="00D00772"/>
    <w:rsid w:val="00D02F59"/>
    <w:rsid w:val="00D05C0E"/>
    <w:rsid w:val="00D05D99"/>
    <w:rsid w:val="00D069D5"/>
    <w:rsid w:val="00D1253D"/>
    <w:rsid w:val="00D14ECB"/>
    <w:rsid w:val="00D15666"/>
    <w:rsid w:val="00D16219"/>
    <w:rsid w:val="00D16FA2"/>
    <w:rsid w:val="00D17632"/>
    <w:rsid w:val="00D1782C"/>
    <w:rsid w:val="00D2132E"/>
    <w:rsid w:val="00D221C6"/>
    <w:rsid w:val="00D242DF"/>
    <w:rsid w:val="00D25690"/>
    <w:rsid w:val="00D256B7"/>
    <w:rsid w:val="00D2617A"/>
    <w:rsid w:val="00D2637A"/>
    <w:rsid w:val="00D271AD"/>
    <w:rsid w:val="00D2749E"/>
    <w:rsid w:val="00D276E9"/>
    <w:rsid w:val="00D3051A"/>
    <w:rsid w:val="00D32E21"/>
    <w:rsid w:val="00D3323E"/>
    <w:rsid w:val="00D343DE"/>
    <w:rsid w:val="00D36483"/>
    <w:rsid w:val="00D40F96"/>
    <w:rsid w:val="00D411D9"/>
    <w:rsid w:val="00D43D7D"/>
    <w:rsid w:val="00D449CE"/>
    <w:rsid w:val="00D4655D"/>
    <w:rsid w:val="00D46B31"/>
    <w:rsid w:val="00D46CCF"/>
    <w:rsid w:val="00D47D14"/>
    <w:rsid w:val="00D527EC"/>
    <w:rsid w:val="00D56B75"/>
    <w:rsid w:val="00D61B7B"/>
    <w:rsid w:val="00D61C33"/>
    <w:rsid w:val="00D6647B"/>
    <w:rsid w:val="00D67DE7"/>
    <w:rsid w:val="00D73125"/>
    <w:rsid w:val="00D73D5B"/>
    <w:rsid w:val="00D73E36"/>
    <w:rsid w:val="00D74CAB"/>
    <w:rsid w:val="00D75820"/>
    <w:rsid w:val="00D76DE0"/>
    <w:rsid w:val="00D80C60"/>
    <w:rsid w:val="00D80DF3"/>
    <w:rsid w:val="00D81C78"/>
    <w:rsid w:val="00D84FA1"/>
    <w:rsid w:val="00D87CD8"/>
    <w:rsid w:val="00D91464"/>
    <w:rsid w:val="00DA1E7C"/>
    <w:rsid w:val="00DA29EB"/>
    <w:rsid w:val="00DA65CF"/>
    <w:rsid w:val="00DA7DE0"/>
    <w:rsid w:val="00DB0EA9"/>
    <w:rsid w:val="00DB2B5B"/>
    <w:rsid w:val="00DB340D"/>
    <w:rsid w:val="00DB5314"/>
    <w:rsid w:val="00DC4449"/>
    <w:rsid w:val="00DD0602"/>
    <w:rsid w:val="00DD67DD"/>
    <w:rsid w:val="00DE189E"/>
    <w:rsid w:val="00DE2177"/>
    <w:rsid w:val="00DE275B"/>
    <w:rsid w:val="00DE5A17"/>
    <w:rsid w:val="00DE6774"/>
    <w:rsid w:val="00DE712C"/>
    <w:rsid w:val="00DF0B6A"/>
    <w:rsid w:val="00DF2D18"/>
    <w:rsid w:val="00DF3686"/>
    <w:rsid w:val="00DF4371"/>
    <w:rsid w:val="00DF4598"/>
    <w:rsid w:val="00DF6C27"/>
    <w:rsid w:val="00DF7847"/>
    <w:rsid w:val="00E02765"/>
    <w:rsid w:val="00E02E30"/>
    <w:rsid w:val="00E07DF2"/>
    <w:rsid w:val="00E10211"/>
    <w:rsid w:val="00E112C9"/>
    <w:rsid w:val="00E11EAE"/>
    <w:rsid w:val="00E11EF6"/>
    <w:rsid w:val="00E1322D"/>
    <w:rsid w:val="00E14A26"/>
    <w:rsid w:val="00E15630"/>
    <w:rsid w:val="00E17143"/>
    <w:rsid w:val="00E200F8"/>
    <w:rsid w:val="00E23519"/>
    <w:rsid w:val="00E2374D"/>
    <w:rsid w:val="00E31192"/>
    <w:rsid w:val="00E32A4A"/>
    <w:rsid w:val="00E3442F"/>
    <w:rsid w:val="00E35017"/>
    <w:rsid w:val="00E351A9"/>
    <w:rsid w:val="00E35CC9"/>
    <w:rsid w:val="00E3606E"/>
    <w:rsid w:val="00E36A12"/>
    <w:rsid w:val="00E4011D"/>
    <w:rsid w:val="00E406B8"/>
    <w:rsid w:val="00E43467"/>
    <w:rsid w:val="00E436EF"/>
    <w:rsid w:val="00E44733"/>
    <w:rsid w:val="00E45252"/>
    <w:rsid w:val="00E4542A"/>
    <w:rsid w:val="00E46CF6"/>
    <w:rsid w:val="00E47CCE"/>
    <w:rsid w:val="00E5000C"/>
    <w:rsid w:val="00E546F3"/>
    <w:rsid w:val="00E55204"/>
    <w:rsid w:val="00E55927"/>
    <w:rsid w:val="00E56973"/>
    <w:rsid w:val="00E5780A"/>
    <w:rsid w:val="00E6190E"/>
    <w:rsid w:val="00E64FE3"/>
    <w:rsid w:val="00E656DF"/>
    <w:rsid w:val="00E6748E"/>
    <w:rsid w:val="00E73932"/>
    <w:rsid w:val="00E757A1"/>
    <w:rsid w:val="00E76648"/>
    <w:rsid w:val="00E7720A"/>
    <w:rsid w:val="00E77564"/>
    <w:rsid w:val="00E80175"/>
    <w:rsid w:val="00E803CC"/>
    <w:rsid w:val="00E826E4"/>
    <w:rsid w:val="00E8292F"/>
    <w:rsid w:val="00E8379B"/>
    <w:rsid w:val="00E84155"/>
    <w:rsid w:val="00E8574E"/>
    <w:rsid w:val="00E85F13"/>
    <w:rsid w:val="00E86810"/>
    <w:rsid w:val="00E8692D"/>
    <w:rsid w:val="00E92AAC"/>
    <w:rsid w:val="00E93FEB"/>
    <w:rsid w:val="00E94A6F"/>
    <w:rsid w:val="00E94E67"/>
    <w:rsid w:val="00E95DE5"/>
    <w:rsid w:val="00E96897"/>
    <w:rsid w:val="00EA0F19"/>
    <w:rsid w:val="00EA14E8"/>
    <w:rsid w:val="00EA3F95"/>
    <w:rsid w:val="00EA74BF"/>
    <w:rsid w:val="00EB1D47"/>
    <w:rsid w:val="00EB2DE8"/>
    <w:rsid w:val="00EB3169"/>
    <w:rsid w:val="00EB46EC"/>
    <w:rsid w:val="00EB5EAC"/>
    <w:rsid w:val="00EB6758"/>
    <w:rsid w:val="00EC1128"/>
    <w:rsid w:val="00EC373F"/>
    <w:rsid w:val="00EC6B77"/>
    <w:rsid w:val="00EC6BE1"/>
    <w:rsid w:val="00EC7C48"/>
    <w:rsid w:val="00ED40F0"/>
    <w:rsid w:val="00ED45EB"/>
    <w:rsid w:val="00ED737C"/>
    <w:rsid w:val="00EE17DE"/>
    <w:rsid w:val="00EE3FD9"/>
    <w:rsid w:val="00EE4316"/>
    <w:rsid w:val="00EE5074"/>
    <w:rsid w:val="00EE60F9"/>
    <w:rsid w:val="00EE654F"/>
    <w:rsid w:val="00EE6C93"/>
    <w:rsid w:val="00EF2B0C"/>
    <w:rsid w:val="00EF312A"/>
    <w:rsid w:val="00F005B7"/>
    <w:rsid w:val="00F01032"/>
    <w:rsid w:val="00F0407B"/>
    <w:rsid w:val="00F05747"/>
    <w:rsid w:val="00F05BC7"/>
    <w:rsid w:val="00F0671C"/>
    <w:rsid w:val="00F100A7"/>
    <w:rsid w:val="00F1129B"/>
    <w:rsid w:val="00F1158D"/>
    <w:rsid w:val="00F21ECC"/>
    <w:rsid w:val="00F22687"/>
    <w:rsid w:val="00F243C0"/>
    <w:rsid w:val="00F250EC"/>
    <w:rsid w:val="00F27A88"/>
    <w:rsid w:val="00F309B3"/>
    <w:rsid w:val="00F36D3A"/>
    <w:rsid w:val="00F36F53"/>
    <w:rsid w:val="00F40F6B"/>
    <w:rsid w:val="00F44256"/>
    <w:rsid w:val="00F455FA"/>
    <w:rsid w:val="00F4713B"/>
    <w:rsid w:val="00F50398"/>
    <w:rsid w:val="00F51F5F"/>
    <w:rsid w:val="00F531F8"/>
    <w:rsid w:val="00F53767"/>
    <w:rsid w:val="00F54A01"/>
    <w:rsid w:val="00F54C92"/>
    <w:rsid w:val="00F555FF"/>
    <w:rsid w:val="00F55A15"/>
    <w:rsid w:val="00F61ADD"/>
    <w:rsid w:val="00F63DFB"/>
    <w:rsid w:val="00F66F94"/>
    <w:rsid w:val="00F716C8"/>
    <w:rsid w:val="00F71FD6"/>
    <w:rsid w:val="00F7371D"/>
    <w:rsid w:val="00F77EE4"/>
    <w:rsid w:val="00F81123"/>
    <w:rsid w:val="00F82F14"/>
    <w:rsid w:val="00F92D1C"/>
    <w:rsid w:val="00F92D56"/>
    <w:rsid w:val="00F96CE3"/>
    <w:rsid w:val="00F97E57"/>
    <w:rsid w:val="00FA0181"/>
    <w:rsid w:val="00FA3799"/>
    <w:rsid w:val="00FA7102"/>
    <w:rsid w:val="00FA7F4E"/>
    <w:rsid w:val="00FC12B7"/>
    <w:rsid w:val="00FC3368"/>
    <w:rsid w:val="00FC4944"/>
    <w:rsid w:val="00FC576C"/>
    <w:rsid w:val="00FD0D9E"/>
    <w:rsid w:val="00FD0E42"/>
    <w:rsid w:val="00FD16F4"/>
    <w:rsid w:val="00FD3BE5"/>
    <w:rsid w:val="00FD4395"/>
    <w:rsid w:val="00FD6D8A"/>
    <w:rsid w:val="00FE1069"/>
    <w:rsid w:val="00FE314C"/>
    <w:rsid w:val="00FE32C9"/>
    <w:rsid w:val="00FE4170"/>
    <w:rsid w:val="00FE4D1D"/>
    <w:rsid w:val="00FE7079"/>
    <w:rsid w:val="00FF00D7"/>
    <w:rsid w:val="00FF42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BF93F"/>
  <w15:docId w15:val="{87D29E70-B7D8-4C47-99AB-0DF48C49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1464"/>
    <w:rPr>
      <w:sz w:val="24"/>
      <w:szCs w:val="24"/>
    </w:rPr>
  </w:style>
  <w:style w:type="paragraph" w:styleId="Antrat1">
    <w:name w:val="heading 1"/>
    <w:basedOn w:val="prastasis"/>
    <w:next w:val="prastasis"/>
    <w:link w:val="Antrat1Diagrama"/>
    <w:qFormat/>
    <w:rsid w:val="00D91464"/>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1464"/>
    <w:rPr>
      <w:rFonts w:ascii="Cambria" w:hAnsi="Cambria"/>
      <w:b/>
      <w:bCs/>
      <w:kern w:val="32"/>
      <w:sz w:val="32"/>
      <w:szCs w:val="32"/>
    </w:rPr>
  </w:style>
  <w:style w:type="character" w:styleId="Grietas">
    <w:name w:val="Strong"/>
    <w:qFormat/>
    <w:rsid w:val="00D91464"/>
    <w:rPr>
      <w:b/>
      <w:bCs/>
    </w:rPr>
  </w:style>
  <w:style w:type="character" w:styleId="Emfaz">
    <w:name w:val="Emphasis"/>
    <w:qFormat/>
    <w:rsid w:val="00D91464"/>
    <w:rPr>
      <w:i/>
      <w:iCs/>
    </w:rPr>
  </w:style>
  <w:style w:type="paragraph" w:styleId="Debesliotekstas">
    <w:name w:val="Balloon Text"/>
    <w:basedOn w:val="prastasis"/>
    <w:link w:val="DebesliotekstasDiagrama"/>
    <w:uiPriority w:val="99"/>
    <w:semiHidden/>
    <w:unhideWhenUsed/>
    <w:rsid w:val="0016792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67927"/>
    <w:rPr>
      <w:rFonts w:ascii="Tahoma" w:hAnsi="Tahoma" w:cs="Tahoma"/>
      <w:sz w:val="16"/>
      <w:szCs w:val="16"/>
    </w:rPr>
  </w:style>
  <w:style w:type="table" w:customStyle="1" w:styleId="Lentelstinklelis1">
    <w:name w:val="Lentelės tinklelis1"/>
    <w:basedOn w:val="prastojilentel"/>
    <w:next w:val="Lentelstinklelis"/>
    <w:uiPriority w:val="59"/>
    <w:rsid w:val="008C7C9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lapioinaostekstas1">
    <w:name w:val="Puslapio išnašos tekstas1"/>
    <w:basedOn w:val="prastasis"/>
    <w:next w:val="Puslapioinaostekstas"/>
    <w:link w:val="PuslapioinaostekstasDiagrama"/>
    <w:uiPriority w:val="99"/>
    <w:unhideWhenUsed/>
    <w:rsid w:val="008C7C9A"/>
    <w:rPr>
      <w:rFonts w:eastAsia="Calibri"/>
      <w:sz w:val="20"/>
      <w:szCs w:val="20"/>
    </w:rPr>
  </w:style>
  <w:style w:type="character" w:customStyle="1" w:styleId="PuslapioinaostekstasDiagrama">
    <w:name w:val="Puslapio išnašos tekstas Diagrama"/>
    <w:basedOn w:val="Numatytasispastraiposriftas"/>
    <w:link w:val="Puslapioinaostekstas1"/>
    <w:rsid w:val="008C7C9A"/>
    <w:rPr>
      <w:rFonts w:eastAsia="Calibri" w:cs="Times New Roman"/>
      <w:sz w:val="20"/>
    </w:rPr>
  </w:style>
  <w:style w:type="character" w:styleId="Puslapioinaosnuoroda">
    <w:name w:val="footnote reference"/>
    <w:basedOn w:val="Numatytasispastraiposriftas"/>
    <w:unhideWhenUsed/>
    <w:rsid w:val="008C7C9A"/>
    <w:rPr>
      <w:vertAlign w:val="superscript"/>
    </w:rPr>
  </w:style>
  <w:style w:type="paragraph" w:customStyle="1" w:styleId="BodyText1">
    <w:name w:val="Body Text1"/>
    <w:basedOn w:val="prastasis"/>
    <w:rsid w:val="008C7C9A"/>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39"/>
    <w:rsid w:val="008C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1"/>
    <w:unhideWhenUsed/>
    <w:rsid w:val="008C7C9A"/>
    <w:rPr>
      <w:sz w:val="20"/>
      <w:szCs w:val="20"/>
    </w:rPr>
  </w:style>
  <w:style w:type="character" w:customStyle="1" w:styleId="PuslapioinaostekstasDiagrama1">
    <w:name w:val="Puslapio išnašos tekstas Diagrama1"/>
    <w:basedOn w:val="Numatytasispastraiposriftas"/>
    <w:link w:val="Puslapioinaostekstas"/>
    <w:uiPriority w:val="99"/>
    <w:rsid w:val="008C7C9A"/>
  </w:style>
  <w:style w:type="character" w:styleId="Komentaronuoroda">
    <w:name w:val="annotation reference"/>
    <w:basedOn w:val="Numatytasispastraiposriftas"/>
    <w:uiPriority w:val="99"/>
    <w:semiHidden/>
    <w:unhideWhenUsed/>
    <w:rsid w:val="00A4343E"/>
    <w:rPr>
      <w:sz w:val="16"/>
      <w:szCs w:val="16"/>
    </w:rPr>
  </w:style>
  <w:style w:type="paragraph" w:styleId="Komentarotekstas">
    <w:name w:val="annotation text"/>
    <w:basedOn w:val="prastasis"/>
    <w:link w:val="KomentarotekstasDiagrama"/>
    <w:uiPriority w:val="99"/>
    <w:unhideWhenUsed/>
    <w:rsid w:val="00A4343E"/>
    <w:rPr>
      <w:sz w:val="20"/>
      <w:szCs w:val="20"/>
    </w:rPr>
  </w:style>
  <w:style w:type="character" w:customStyle="1" w:styleId="KomentarotekstasDiagrama">
    <w:name w:val="Komentaro tekstas Diagrama"/>
    <w:basedOn w:val="Numatytasispastraiposriftas"/>
    <w:link w:val="Komentarotekstas"/>
    <w:uiPriority w:val="99"/>
    <w:rsid w:val="00A4343E"/>
  </w:style>
  <w:style w:type="paragraph" w:styleId="Komentarotema">
    <w:name w:val="annotation subject"/>
    <w:basedOn w:val="Komentarotekstas"/>
    <w:next w:val="Komentarotekstas"/>
    <w:link w:val="KomentarotemaDiagrama"/>
    <w:uiPriority w:val="99"/>
    <w:semiHidden/>
    <w:unhideWhenUsed/>
    <w:rsid w:val="00A4343E"/>
    <w:rPr>
      <w:b/>
      <w:bCs/>
    </w:rPr>
  </w:style>
  <w:style w:type="character" w:customStyle="1" w:styleId="KomentarotemaDiagrama">
    <w:name w:val="Komentaro tema Diagrama"/>
    <w:basedOn w:val="KomentarotekstasDiagrama"/>
    <w:link w:val="Komentarotema"/>
    <w:uiPriority w:val="99"/>
    <w:semiHidden/>
    <w:rsid w:val="00A4343E"/>
    <w:rPr>
      <w:b/>
      <w:bCs/>
    </w:rPr>
  </w:style>
  <w:style w:type="paragraph" w:styleId="Pataisymai">
    <w:name w:val="Revision"/>
    <w:hidden/>
    <w:uiPriority w:val="99"/>
    <w:semiHidden/>
    <w:rsid w:val="00A4343E"/>
    <w:rPr>
      <w:sz w:val="24"/>
      <w:szCs w:val="24"/>
    </w:rPr>
  </w:style>
  <w:style w:type="paragraph" w:styleId="Antrats">
    <w:name w:val="header"/>
    <w:basedOn w:val="prastasis"/>
    <w:link w:val="AntratsDiagrama"/>
    <w:uiPriority w:val="99"/>
    <w:unhideWhenUsed/>
    <w:rsid w:val="00B07746"/>
    <w:pPr>
      <w:tabs>
        <w:tab w:val="center" w:pos="4819"/>
        <w:tab w:val="right" w:pos="9638"/>
      </w:tabs>
    </w:pPr>
  </w:style>
  <w:style w:type="character" w:customStyle="1" w:styleId="AntratsDiagrama">
    <w:name w:val="Antraštės Diagrama"/>
    <w:basedOn w:val="Numatytasispastraiposriftas"/>
    <w:link w:val="Antrats"/>
    <w:uiPriority w:val="99"/>
    <w:rsid w:val="00B07746"/>
    <w:rPr>
      <w:sz w:val="24"/>
      <w:szCs w:val="24"/>
    </w:rPr>
  </w:style>
  <w:style w:type="paragraph" w:styleId="Porat">
    <w:name w:val="footer"/>
    <w:basedOn w:val="prastasis"/>
    <w:link w:val="PoratDiagrama"/>
    <w:uiPriority w:val="99"/>
    <w:unhideWhenUsed/>
    <w:rsid w:val="00B07746"/>
    <w:pPr>
      <w:tabs>
        <w:tab w:val="center" w:pos="4819"/>
        <w:tab w:val="right" w:pos="9638"/>
      </w:tabs>
    </w:pPr>
  </w:style>
  <w:style w:type="character" w:customStyle="1" w:styleId="PoratDiagrama">
    <w:name w:val="Poraštė Diagrama"/>
    <w:basedOn w:val="Numatytasispastraiposriftas"/>
    <w:link w:val="Porat"/>
    <w:uiPriority w:val="99"/>
    <w:rsid w:val="00B07746"/>
    <w:rPr>
      <w:sz w:val="24"/>
      <w:szCs w:val="24"/>
    </w:rPr>
  </w:style>
  <w:style w:type="paragraph" w:styleId="Sraopastraipa">
    <w:name w:val="List Paragraph"/>
    <w:aliases w:val="List not in Table,Para 0,Párrafo de lista1,Paragrafo elenco1,Bullets,Paragraphe de liste"/>
    <w:basedOn w:val="prastasis"/>
    <w:link w:val="SraopastraipaDiagrama"/>
    <w:uiPriority w:val="34"/>
    <w:qFormat/>
    <w:rsid w:val="00A34EAC"/>
    <w:pPr>
      <w:ind w:left="720"/>
      <w:contextualSpacing/>
    </w:pPr>
    <w:rPr>
      <w:lang w:eastAsia="lt-LT"/>
    </w:rPr>
  </w:style>
  <w:style w:type="character" w:customStyle="1" w:styleId="dlxnowrap1">
    <w:name w:val="dlxnowrap1"/>
    <w:basedOn w:val="Numatytasispastraiposriftas"/>
    <w:rsid w:val="00B105BC"/>
  </w:style>
  <w:style w:type="character" w:customStyle="1" w:styleId="SraopastraipaDiagrama">
    <w:name w:val="Sąrašo pastraipa Diagrama"/>
    <w:aliases w:val="List not in Table Diagrama,Para 0 Diagrama,Párrafo de lista1 Diagrama,Paragrafo elenco1 Diagrama,Bullets Diagrama,Paragraphe de liste Diagrama"/>
    <w:link w:val="Sraopastraipa"/>
    <w:uiPriority w:val="34"/>
    <w:locked/>
    <w:rsid w:val="007E305B"/>
    <w:rPr>
      <w:sz w:val="24"/>
      <w:szCs w:val="24"/>
      <w:lang w:eastAsia="lt-LT"/>
    </w:rPr>
  </w:style>
  <w:style w:type="paragraph" w:styleId="Betarp">
    <w:name w:val="No Spacing"/>
    <w:uiPriority w:val="1"/>
    <w:qFormat/>
    <w:rsid w:val="00B62487"/>
    <w:pPr>
      <w:widowControl w:val="0"/>
      <w:suppressAutoHyphens/>
    </w:pPr>
    <w:rPr>
      <w:rFonts w:ascii="TimesLT" w:hAnsi="TimesLT"/>
      <w:sz w:val="22"/>
      <w:lang w:eastAsia="ar-SA"/>
    </w:rPr>
  </w:style>
  <w:style w:type="character" w:styleId="Hipersaitas">
    <w:name w:val="Hyperlink"/>
    <w:rsid w:val="00CA20EE"/>
    <w:rPr>
      <w:color w:val="0000FF"/>
      <w:u w:val="single"/>
    </w:rPr>
  </w:style>
  <w:style w:type="paragraph" w:customStyle="1" w:styleId="bodytext">
    <w:name w:val="bodytext"/>
    <w:basedOn w:val="prastasis"/>
    <w:rsid w:val="00E86810"/>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4015">
      <w:bodyDiv w:val="1"/>
      <w:marLeft w:val="0"/>
      <w:marRight w:val="0"/>
      <w:marTop w:val="0"/>
      <w:marBottom w:val="0"/>
      <w:divBdr>
        <w:top w:val="none" w:sz="0" w:space="0" w:color="auto"/>
        <w:left w:val="none" w:sz="0" w:space="0" w:color="auto"/>
        <w:bottom w:val="none" w:sz="0" w:space="0" w:color="auto"/>
        <w:right w:val="none" w:sz="0" w:space="0" w:color="auto"/>
      </w:divBdr>
    </w:div>
    <w:div w:id="406151172">
      <w:bodyDiv w:val="1"/>
      <w:marLeft w:val="0"/>
      <w:marRight w:val="0"/>
      <w:marTop w:val="0"/>
      <w:marBottom w:val="0"/>
      <w:divBdr>
        <w:top w:val="none" w:sz="0" w:space="0" w:color="auto"/>
        <w:left w:val="none" w:sz="0" w:space="0" w:color="auto"/>
        <w:bottom w:val="none" w:sz="0" w:space="0" w:color="auto"/>
        <w:right w:val="none" w:sz="0" w:space="0" w:color="auto"/>
      </w:divBdr>
    </w:div>
    <w:div w:id="1250044904">
      <w:bodyDiv w:val="1"/>
      <w:marLeft w:val="0"/>
      <w:marRight w:val="0"/>
      <w:marTop w:val="0"/>
      <w:marBottom w:val="0"/>
      <w:divBdr>
        <w:top w:val="none" w:sz="0" w:space="0" w:color="auto"/>
        <w:left w:val="none" w:sz="0" w:space="0" w:color="auto"/>
        <w:bottom w:val="none" w:sz="0" w:space="0" w:color="auto"/>
        <w:right w:val="none" w:sz="0" w:space="0" w:color="auto"/>
      </w:divBdr>
    </w:div>
    <w:div w:id="1422066787">
      <w:bodyDiv w:val="1"/>
      <w:marLeft w:val="0"/>
      <w:marRight w:val="0"/>
      <w:marTop w:val="0"/>
      <w:marBottom w:val="0"/>
      <w:divBdr>
        <w:top w:val="none" w:sz="0" w:space="0" w:color="auto"/>
        <w:left w:val="none" w:sz="0" w:space="0" w:color="auto"/>
        <w:bottom w:val="none" w:sz="0" w:space="0" w:color="auto"/>
        <w:right w:val="none" w:sz="0" w:space="0" w:color="auto"/>
      </w:divBdr>
    </w:div>
    <w:div w:id="1426421733">
      <w:bodyDiv w:val="1"/>
      <w:marLeft w:val="0"/>
      <w:marRight w:val="0"/>
      <w:marTop w:val="0"/>
      <w:marBottom w:val="0"/>
      <w:divBdr>
        <w:top w:val="none" w:sz="0" w:space="0" w:color="auto"/>
        <w:left w:val="none" w:sz="0" w:space="0" w:color="auto"/>
        <w:bottom w:val="none" w:sz="0" w:space="0" w:color="auto"/>
        <w:right w:val="none" w:sz="0" w:space="0" w:color="auto"/>
      </w:divBdr>
    </w:div>
    <w:div w:id="1887325912">
      <w:bodyDiv w:val="1"/>
      <w:marLeft w:val="0"/>
      <w:marRight w:val="0"/>
      <w:marTop w:val="0"/>
      <w:marBottom w:val="0"/>
      <w:divBdr>
        <w:top w:val="none" w:sz="0" w:space="0" w:color="auto"/>
        <w:left w:val="none" w:sz="0" w:space="0" w:color="auto"/>
        <w:bottom w:val="none" w:sz="0" w:space="0" w:color="auto"/>
        <w:right w:val="none" w:sz="0" w:space="0" w:color="auto"/>
      </w:divBdr>
    </w:div>
    <w:div w:id="2055885010">
      <w:bodyDiv w:val="1"/>
      <w:marLeft w:val="0"/>
      <w:marRight w:val="0"/>
      <w:marTop w:val="0"/>
      <w:marBottom w:val="0"/>
      <w:divBdr>
        <w:top w:val="none" w:sz="0" w:space="0" w:color="auto"/>
        <w:left w:val="none" w:sz="0" w:space="0" w:color="auto"/>
        <w:bottom w:val="none" w:sz="0" w:space="0" w:color="auto"/>
        <w:right w:val="none" w:sz="0" w:space="0" w:color="auto"/>
      </w:divBdr>
    </w:div>
    <w:div w:id="2103334658">
      <w:bodyDiv w:val="1"/>
      <w:marLeft w:val="0"/>
      <w:marRight w:val="0"/>
      <w:marTop w:val="0"/>
      <w:marBottom w:val="0"/>
      <w:divBdr>
        <w:top w:val="none" w:sz="0" w:space="0" w:color="auto"/>
        <w:left w:val="none" w:sz="0" w:space="0" w:color="auto"/>
        <w:bottom w:val="none" w:sz="0" w:space="0" w:color="auto"/>
        <w:right w:val="none" w:sz="0" w:space="0" w:color="auto"/>
      </w:divBdr>
      <w:divsChild>
        <w:div w:id="1726027931">
          <w:marLeft w:val="0"/>
          <w:marRight w:val="0"/>
          <w:marTop w:val="0"/>
          <w:marBottom w:val="0"/>
          <w:divBdr>
            <w:top w:val="none" w:sz="0" w:space="0" w:color="auto"/>
            <w:left w:val="none" w:sz="0" w:space="0" w:color="auto"/>
            <w:bottom w:val="none" w:sz="0" w:space="0" w:color="auto"/>
            <w:right w:val="none" w:sz="0" w:space="0" w:color="auto"/>
          </w:divBdr>
          <w:divsChild>
            <w:div w:id="188615270">
              <w:marLeft w:val="0"/>
              <w:marRight w:val="0"/>
              <w:marTop w:val="0"/>
              <w:marBottom w:val="0"/>
              <w:divBdr>
                <w:top w:val="none" w:sz="0" w:space="0" w:color="auto"/>
                <w:left w:val="none" w:sz="0" w:space="0" w:color="auto"/>
                <w:bottom w:val="none" w:sz="0" w:space="0" w:color="auto"/>
                <w:right w:val="none" w:sz="0" w:space="0" w:color="auto"/>
              </w:divBdr>
              <w:divsChild>
                <w:div w:id="30956503">
                  <w:marLeft w:val="0"/>
                  <w:marRight w:val="0"/>
                  <w:marTop w:val="0"/>
                  <w:marBottom w:val="0"/>
                  <w:divBdr>
                    <w:top w:val="none" w:sz="0" w:space="0" w:color="auto"/>
                    <w:left w:val="none" w:sz="0" w:space="0" w:color="auto"/>
                    <w:bottom w:val="none" w:sz="0" w:space="0" w:color="auto"/>
                    <w:right w:val="none" w:sz="0" w:space="0" w:color="auto"/>
                  </w:divBdr>
                  <w:divsChild>
                    <w:div w:id="1807160538">
                      <w:marLeft w:val="0"/>
                      <w:marRight w:val="0"/>
                      <w:marTop w:val="0"/>
                      <w:marBottom w:val="0"/>
                      <w:divBdr>
                        <w:top w:val="none" w:sz="0" w:space="0" w:color="auto"/>
                        <w:left w:val="none" w:sz="0" w:space="0" w:color="auto"/>
                        <w:bottom w:val="none" w:sz="0" w:space="0" w:color="auto"/>
                        <w:right w:val="none" w:sz="0" w:space="0" w:color="auto"/>
                      </w:divBdr>
                    </w:div>
                  </w:divsChild>
                </w:div>
                <w:div w:id="1538203947">
                  <w:marLeft w:val="0"/>
                  <w:marRight w:val="0"/>
                  <w:marTop w:val="0"/>
                  <w:marBottom w:val="0"/>
                  <w:divBdr>
                    <w:top w:val="none" w:sz="0" w:space="0" w:color="auto"/>
                    <w:left w:val="none" w:sz="0" w:space="0" w:color="auto"/>
                    <w:bottom w:val="none" w:sz="0" w:space="0" w:color="auto"/>
                    <w:right w:val="none" w:sz="0" w:space="0" w:color="auto"/>
                  </w:divBdr>
                  <w:divsChild>
                    <w:div w:id="19617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Pasirinktinis 12">
      <a:dk1>
        <a:sysClr val="windowText" lastClr="000000"/>
      </a:dk1>
      <a:lt1>
        <a:sysClr val="window" lastClr="FFFFFF"/>
      </a:lt1>
      <a:dk2>
        <a:srgbClr val="08860B"/>
      </a:dk2>
      <a:lt2>
        <a:srgbClr val="5BD078"/>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3010-341A-4DCD-958F-23B5C084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1560</Words>
  <Characters>8894</Characters>
  <Application>Microsoft Office Word</Application>
  <DocSecurity>0</DocSecurity>
  <Lines>74</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STT</dc:creator>
  <cp:lastModifiedBy>ZASAS, Darius  | Turto bankas</cp:lastModifiedBy>
  <cp:revision>6</cp:revision>
  <cp:lastPrinted>2022-09-05T06:43:00Z</cp:lastPrinted>
  <dcterms:created xsi:type="dcterms:W3CDTF">2024-01-23T08:23:00Z</dcterms:created>
  <dcterms:modified xsi:type="dcterms:W3CDTF">2024-01-26T04:34:00Z</dcterms:modified>
</cp:coreProperties>
</file>