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C5F01" w14:textId="77777777" w:rsidR="00AC0669" w:rsidRDefault="00141872">
      <w:pPr>
        <w:pStyle w:val="Antrat"/>
        <w:ind w:right="-1"/>
        <w:rPr>
          <w:sz w:val="24"/>
        </w:rPr>
      </w:pPr>
      <w:r>
        <w:rPr>
          <w:noProof/>
          <w:lang w:eastAsia="lt-LT"/>
        </w:rPr>
        <w:drawing>
          <wp:inline distT="0" distB="0" distL="0" distR="0" wp14:anchorId="599D41AA" wp14:editId="00ED0252">
            <wp:extent cx="403860" cy="4064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7"/>
                    <a:srcRect l="-25" t="-25" r="-25" b="-25"/>
                    <a:stretch>
                      <a:fillRect/>
                    </a:stretch>
                  </pic:blipFill>
                  <pic:spPr bwMode="auto">
                    <a:xfrm>
                      <a:off x="0" y="0"/>
                      <a:ext cx="403860" cy="406400"/>
                    </a:xfrm>
                    <a:prstGeom prst="rect">
                      <a:avLst/>
                    </a:prstGeom>
                  </pic:spPr>
                </pic:pic>
              </a:graphicData>
            </a:graphic>
          </wp:inline>
        </w:drawing>
      </w:r>
    </w:p>
    <w:p w14:paraId="10E57F76" w14:textId="77777777" w:rsidR="00AC0669" w:rsidRDefault="00AC0669">
      <w:pPr>
        <w:pStyle w:val="Antrats"/>
        <w:tabs>
          <w:tab w:val="clear" w:pos="4153"/>
          <w:tab w:val="clear" w:pos="8306"/>
        </w:tabs>
        <w:ind w:right="-1"/>
      </w:pPr>
    </w:p>
    <w:p w14:paraId="4F577A07" w14:textId="77777777" w:rsidR="00AC0669" w:rsidRDefault="00141872">
      <w:pPr>
        <w:pStyle w:val="Antrat"/>
        <w:spacing w:line="276" w:lineRule="auto"/>
        <w:ind w:right="-1"/>
        <w:rPr>
          <w:sz w:val="24"/>
          <w:szCs w:val="24"/>
        </w:rPr>
      </w:pPr>
      <w:r>
        <w:rPr>
          <w:sz w:val="24"/>
          <w:szCs w:val="24"/>
        </w:rPr>
        <w:t>VALSTYBĖS ĮMONĖS TURTO BANKO</w:t>
      </w:r>
    </w:p>
    <w:p w14:paraId="69F1462B" w14:textId="77777777" w:rsidR="00AC0669" w:rsidRDefault="00141872">
      <w:pPr>
        <w:pStyle w:val="Antrat"/>
        <w:spacing w:line="276" w:lineRule="auto"/>
        <w:ind w:right="-1"/>
        <w:rPr>
          <w:sz w:val="24"/>
          <w:szCs w:val="24"/>
        </w:rPr>
      </w:pPr>
      <w:r>
        <w:rPr>
          <w:sz w:val="24"/>
          <w:szCs w:val="24"/>
        </w:rPr>
        <w:t>GENERALINIS DIREKTORIUS</w:t>
      </w:r>
    </w:p>
    <w:p w14:paraId="681DC17A" w14:textId="77777777" w:rsidR="00AC0669" w:rsidRDefault="00AC0669">
      <w:pPr>
        <w:spacing w:line="276" w:lineRule="auto"/>
        <w:ind w:right="-1"/>
        <w:rPr>
          <w:szCs w:val="24"/>
        </w:rPr>
      </w:pPr>
    </w:p>
    <w:p w14:paraId="589447B3" w14:textId="77777777" w:rsidR="00AC0669" w:rsidRDefault="00141872">
      <w:pPr>
        <w:pStyle w:val="Antrat1"/>
        <w:spacing w:line="276" w:lineRule="auto"/>
        <w:ind w:right="-1"/>
      </w:pPr>
      <w:r>
        <w:t>ĮSAKYMAS</w:t>
      </w:r>
    </w:p>
    <w:tbl>
      <w:tblPr>
        <w:tblW w:w="9855" w:type="dxa"/>
        <w:tblInd w:w="-108" w:type="dxa"/>
        <w:tblLayout w:type="fixed"/>
        <w:tblLook w:val="04A0" w:firstRow="1" w:lastRow="0" w:firstColumn="1" w:lastColumn="0" w:noHBand="0" w:noVBand="1"/>
      </w:tblPr>
      <w:tblGrid>
        <w:gridCol w:w="9855"/>
      </w:tblGrid>
      <w:tr w:rsidR="00AC0669" w14:paraId="5CCD9099" w14:textId="77777777">
        <w:tc>
          <w:tcPr>
            <w:tcW w:w="9855" w:type="dxa"/>
          </w:tcPr>
          <w:p w14:paraId="4B8F8AD3" w14:textId="77777777" w:rsidR="00AC0669" w:rsidRDefault="00141872">
            <w:pPr>
              <w:spacing w:after="20"/>
              <w:jc w:val="center"/>
              <w:rPr>
                <w:b/>
                <w:bCs/>
                <w:caps/>
              </w:rPr>
            </w:pPr>
            <w:r>
              <w:rPr>
                <w:b/>
                <w:bCs/>
              </w:rPr>
              <w:t>DĖL VALSTYBĖS NEKILNOJAMOJO TURTO PERDAVIMO PATIKĖJIMO TEISE</w:t>
            </w:r>
          </w:p>
        </w:tc>
      </w:tr>
    </w:tbl>
    <w:p w14:paraId="55313684" w14:textId="77777777" w:rsidR="00AC0669" w:rsidRDefault="00AC0669">
      <w:pPr>
        <w:spacing w:after="20"/>
        <w:jc w:val="center"/>
      </w:pPr>
    </w:p>
    <w:p w14:paraId="5C05463C" w14:textId="77777777" w:rsidR="00AC0669" w:rsidRDefault="00141872">
      <w:pPr>
        <w:jc w:val="center"/>
      </w:pPr>
      <w:r>
        <w:t xml:space="preserve">2024 m.                           d. Nr. </w:t>
      </w:r>
    </w:p>
    <w:p w14:paraId="5164554C" w14:textId="77777777" w:rsidR="00AC0669" w:rsidRDefault="00141872">
      <w:pPr>
        <w:jc w:val="center"/>
      </w:pPr>
      <w:r>
        <w:t>Vilnius</w:t>
      </w:r>
    </w:p>
    <w:p w14:paraId="112914DC" w14:textId="77777777" w:rsidR="00AC0669" w:rsidRDefault="00AC0669">
      <w:pPr>
        <w:jc w:val="center"/>
      </w:pPr>
    </w:p>
    <w:p w14:paraId="70120400" w14:textId="77777777" w:rsidR="00AC0669" w:rsidRDefault="00141872">
      <w:pPr>
        <w:tabs>
          <w:tab w:val="left" w:pos="6237"/>
        </w:tabs>
        <w:ind w:firstLine="720"/>
        <w:jc w:val="both"/>
        <w:rPr>
          <w:szCs w:val="24"/>
        </w:rPr>
      </w:pPr>
      <w:r>
        <w:rPr>
          <w:szCs w:val="24"/>
        </w:rPr>
        <w:t>Vadovaudamasis Lietuvos Respublikos valstybės ir savivaldybių turto valdymo, naudojimo ir disponavimo juo įstatymo 10 straipsniu ir įgyvendindamas Valstybės turto perdavimo valdyti, naudoti ir disponuoti juo patikėjimo teise tvarkos aprašą, patvirtintą Lietuvos Respublikos Vyriausybės 2001 m. sausio 5 d. nutarimu Nr. 16 „</w:t>
      </w:r>
      <w:r>
        <w:rPr>
          <w:lang w:eastAsia="lt-LT"/>
        </w:rPr>
        <w:t>Dėl valstybės turto perdavimo patikėjimo teise ir savivaldybių nuosavybėn</w:t>
      </w:r>
      <w:r>
        <w:rPr>
          <w:szCs w:val="24"/>
        </w:rPr>
        <w:t>“,</w:t>
      </w:r>
    </w:p>
    <w:p w14:paraId="7E306A29" w14:textId="1BE8A499" w:rsidR="00AC0669" w:rsidRDefault="00141872">
      <w:pPr>
        <w:tabs>
          <w:tab w:val="left" w:pos="6237"/>
        </w:tabs>
        <w:ind w:firstLine="720"/>
        <w:jc w:val="both"/>
        <w:rPr>
          <w:szCs w:val="24"/>
        </w:rPr>
      </w:pPr>
      <w:r>
        <w:rPr>
          <w:szCs w:val="24"/>
        </w:rPr>
        <w:t>p e r d u o d u Gruzdžių vaikų socializacijos centrui patikėjimo teise valdyti, naudoti ir disponuoti valstybei nuosavybės teise priklausantį ir šiuo metu Nacionalinės švietimo agentūros patikėjimo teise valdomą nekilnojamąjį turtą</w:t>
      </w:r>
      <w:r w:rsidR="00507CE9">
        <w:rPr>
          <w:szCs w:val="24"/>
        </w:rPr>
        <w:t>, esant</w:t>
      </w:r>
      <w:r w:rsidR="0054572A">
        <w:rPr>
          <w:szCs w:val="24"/>
        </w:rPr>
        <w:t xml:space="preserve">į </w:t>
      </w:r>
      <w:r w:rsidR="0054572A" w:rsidRPr="0054572A">
        <w:rPr>
          <w:szCs w:val="24"/>
        </w:rPr>
        <w:t>Nepriklausomybės g. 24</w:t>
      </w:r>
      <w:r w:rsidR="0054572A">
        <w:rPr>
          <w:szCs w:val="24"/>
        </w:rPr>
        <w:t xml:space="preserve">, </w:t>
      </w:r>
      <w:r w:rsidR="0054572A" w:rsidRPr="0054572A">
        <w:rPr>
          <w:szCs w:val="24"/>
        </w:rPr>
        <w:t>Gailių k.</w:t>
      </w:r>
      <w:r w:rsidR="0054572A">
        <w:rPr>
          <w:szCs w:val="24"/>
        </w:rPr>
        <w:t xml:space="preserve">, </w:t>
      </w:r>
      <w:r w:rsidR="0054572A" w:rsidRPr="0054572A">
        <w:rPr>
          <w:szCs w:val="24"/>
        </w:rPr>
        <w:t>Liolių sen.,</w:t>
      </w:r>
      <w:r w:rsidR="0054572A">
        <w:rPr>
          <w:szCs w:val="24"/>
        </w:rPr>
        <w:t xml:space="preserve"> </w:t>
      </w:r>
      <w:r w:rsidR="0054572A" w:rsidRPr="0054572A">
        <w:rPr>
          <w:szCs w:val="24"/>
        </w:rPr>
        <w:t>Kelmės rajono savivaldybėje</w:t>
      </w:r>
      <w:r>
        <w:rPr>
          <w:szCs w:val="24"/>
        </w:rPr>
        <w:t xml:space="preserve">: </w:t>
      </w:r>
    </w:p>
    <w:p w14:paraId="226591F8" w14:textId="17043F0E" w:rsidR="00AC0669" w:rsidRDefault="00141872">
      <w:pPr>
        <w:ind w:firstLine="720"/>
        <w:jc w:val="both"/>
      </w:pPr>
      <w:r>
        <w:t>- kiti inžineriniai statiniai</w:t>
      </w:r>
      <w:r w:rsidR="00612050">
        <w:t xml:space="preserve"> - </w:t>
      </w:r>
      <w:r>
        <w:t xml:space="preserve">krepšinio aikštelė </w:t>
      </w:r>
      <w:r w:rsidR="0054572A">
        <w:t>(</w:t>
      </w:r>
      <w:r>
        <w:t>ilgalaikio turto inventorinis numeris IT22- 002430</w:t>
      </w:r>
      <w:r w:rsidR="0054572A">
        <w:t xml:space="preserve">, </w:t>
      </w:r>
      <w:r>
        <w:t>unikalus Nr. 4400-5929-2114, plotas</w:t>
      </w:r>
      <w:r w:rsidR="00AE0684">
        <w:t xml:space="preserve"> - </w:t>
      </w:r>
      <w:r>
        <w:t>322,08 kv. m</w:t>
      </w:r>
      <w:r w:rsidR="0054572A">
        <w:t>,</w:t>
      </w:r>
      <w:r>
        <w:t xml:space="preserve"> likutinė vertė 2024 m. gegužės 31 d.</w:t>
      </w:r>
      <w:r w:rsidR="00F17296">
        <w:t xml:space="preserve"> - </w:t>
      </w:r>
      <w:r>
        <w:t xml:space="preserve"> 0,00 Eur).</w:t>
      </w:r>
    </w:p>
    <w:p w14:paraId="2D9DA04D" w14:textId="45C1DB8C" w:rsidR="00AC0669" w:rsidRDefault="00141872">
      <w:pPr>
        <w:ind w:firstLine="720"/>
        <w:jc w:val="both"/>
      </w:pPr>
      <w:r>
        <w:t>- kiti inžineriniai statiniai</w:t>
      </w:r>
      <w:r w:rsidR="00612050">
        <w:t xml:space="preserve"> - </w:t>
      </w:r>
      <w:r>
        <w:t xml:space="preserve">aikštelė, pėsčiųjų takas </w:t>
      </w:r>
      <w:r w:rsidR="0054572A">
        <w:t>(</w:t>
      </w:r>
      <w:r>
        <w:t>ilgalaikio turto inventorinis numeris IT22-002429</w:t>
      </w:r>
      <w:r w:rsidR="0054572A">
        <w:t xml:space="preserve">, </w:t>
      </w:r>
      <w:r>
        <w:t>unikalus Nr. 4400-5929-2103, plotas</w:t>
      </w:r>
      <w:r w:rsidR="00F17296">
        <w:t xml:space="preserve"> – </w:t>
      </w:r>
      <w:r>
        <w:t>1</w:t>
      </w:r>
      <w:r w:rsidR="00F17296">
        <w:t xml:space="preserve"> </w:t>
      </w:r>
      <w:r>
        <w:t>269,01 kv. m</w:t>
      </w:r>
      <w:r w:rsidR="0054572A">
        <w:t>,</w:t>
      </w:r>
      <w:r>
        <w:t xml:space="preserve"> likutinė vertė 2024 m. gegužės 31 d. – 0,00 Eur).</w:t>
      </w:r>
    </w:p>
    <w:p w14:paraId="131B6F36" w14:textId="79AB0131" w:rsidR="00AC0669" w:rsidRDefault="00141872">
      <w:pPr>
        <w:ind w:firstLine="720"/>
        <w:jc w:val="both"/>
      </w:pPr>
      <w:r>
        <w:t>- kiti inžineriniai statiniai</w:t>
      </w:r>
      <w:r w:rsidR="00612050">
        <w:t xml:space="preserve"> - </w:t>
      </w:r>
      <w:r>
        <w:t xml:space="preserve">tvora, vartai </w:t>
      </w:r>
      <w:r w:rsidR="0054572A">
        <w:t>(</w:t>
      </w:r>
      <w:r>
        <w:t>ilgalaikio turto inventorinis numeris IT22-002431</w:t>
      </w:r>
      <w:r w:rsidR="0054572A">
        <w:t>,</w:t>
      </w:r>
      <w:r>
        <w:t xml:space="preserve"> unikalus Nr. 4400-5929-2125, aukštis - 4 m, ilgis</w:t>
      </w:r>
      <w:r w:rsidR="00F17296">
        <w:t xml:space="preserve"> - </w:t>
      </w:r>
      <w:r>
        <w:t>73,90 m, likutinė vertė 2024 m. gegužės 31 d.- 0,00 Eur).</w:t>
      </w:r>
    </w:p>
    <w:p w14:paraId="1E8617CD" w14:textId="1C92EB98" w:rsidR="00AC0669" w:rsidRDefault="00141872">
      <w:pPr>
        <w:ind w:firstLine="720"/>
        <w:jc w:val="both"/>
      </w:pPr>
      <w:r>
        <w:t>- kiti inžineriniai statiniai</w:t>
      </w:r>
      <w:r w:rsidR="00612050">
        <w:t xml:space="preserve"> - </w:t>
      </w:r>
      <w:r>
        <w:t xml:space="preserve">tvora, vartai, varteliai </w:t>
      </w:r>
      <w:r w:rsidR="0054572A">
        <w:t>(</w:t>
      </w:r>
      <w:r>
        <w:t>ilgalaikio turto inventorinis numeris IT22-002432</w:t>
      </w:r>
      <w:r w:rsidR="0054572A">
        <w:t xml:space="preserve">, </w:t>
      </w:r>
      <w:r>
        <w:t>unikalus Nr. 4400-5929-2090, aukštis - 2 m, ilgis - 278,81 m, likutinė vertė 2024 m. gegužės 31 d.- 0,00 Eur).</w:t>
      </w:r>
    </w:p>
    <w:p w14:paraId="194BDB42" w14:textId="77777777" w:rsidR="00AC0669" w:rsidRDefault="00AC0669">
      <w:pPr>
        <w:ind w:firstLine="720"/>
        <w:jc w:val="both"/>
      </w:pPr>
    </w:p>
    <w:p w14:paraId="0E2726E8" w14:textId="77777777" w:rsidR="00AC0669" w:rsidRDefault="00AC0669">
      <w:pPr>
        <w:ind w:firstLine="720"/>
        <w:jc w:val="both"/>
      </w:pPr>
    </w:p>
    <w:p w14:paraId="0F0C410A" w14:textId="77777777" w:rsidR="00AC0669" w:rsidRDefault="00AC0669">
      <w:pPr>
        <w:ind w:firstLine="720"/>
        <w:jc w:val="both"/>
      </w:pPr>
    </w:p>
    <w:p w14:paraId="6427DD4B" w14:textId="77777777" w:rsidR="00AC0669" w:rsidRDefault="00AC0669">
      <w:pPr>
        <w:ind w:firstLine="720"/>
        <w:jc w:val="both"/>
      </w:pPr>
    </w:p>
    <w:p w14:paraId="68617D15" w14:textId="77777777" w:rsidR="00AC0669" w:rsidRDefault="00AC0669">
      <w:pPr>
        <w:ind w:firstLine="709"/>
        <w:jc w:val="both"/>
        <w:rPr>
          <w:szCs w:val="24"/>
        </w:rPr>
      </w:pPr>
    </w:p>
    <w:p w14:paraId="7F086B9D" w14:textId="77777777" w:rsidR="00AC0669" w:rsidRDefault="00AC0669">
      <w:pPr>
        <w:ind w:firstLine="709"/>
        <w:jc w:val="both"/>
        <w:rPr>
          <w:szCs w:val="24"/>
        </w:rPr>
      </w:pPr>
    </w:p>
    <w:p w14:paraId="01154FD7" w14:textId="77777777" w:rsidR="00AC0669" w:rsidRDefault="00AC0669">
      <w:pPr>
        <w:rPr>
          <w:szCs w:val="24"/>
        </w:rPr>
      </w:pPr>
    </w:p>
    <w:p w14:paraId="39047665" w14:textId="77777777" w:rsidR="00AE0684" w:rsidRPr="00AE0684" w:rsidRDefault="00AE0684" w:rsidP="00AE0684">
      <w:pPr>
        <w:widowControl w:val="0"/>
        <w:shd w:val="clear" w:color="auto" w:fill="FFFFFF"/>
        <w:jc w:val="both"/>
        <w:rPr>
          <w:color w:val="000000"/>
          <w:spacing w:val="-4"/>
          <w:szCs w:val="24"/>
        </w:rPr>
      </w:pPr>
      <w:r w:rsidRPr="00AE0684">
        <w:rPr>
          <w:color w:val="000000"/>
          <w:spacing w:val="-4"/>
          <w:szCs w:val="24"/>
        </w:rPr>
        <w:t>Generalinis direktorius</w:t>
      </w:r>
      <w:r w:rsidRPr="00AE0684">
        <w:rPr>
          <w:color w:val="000000"/>
          <w:spacing w:val="-4"/>
          <w:szCs w:val="24"/>
        </w:rPr>
        <w:tab/>
      </w:r>
      <w:r w:rsidRPr="00AE0684">
        <w:rPr>
          <w:color w:val="000000"/>
          <w:spacing w:val="-4"/>
          <w:szCs w:val="24"/>
        </w:rPr>
        <w:tab/>
      </w:r>
      <w:r w:rsidRPr="00AE0684">
        <w:rPr>
          <w:color w:val="000000"/>
          <w:spacing w:val="-4"/>
          <w:szCs w:val="24"/>
        </w:rPr>
        <w:tab/>
      </w:r>
      <w:r w:rsidRPr="00AE0684">
        <w:rPr>
          <w:color w:val="000000"/>
          <w:spacing w:val="-4"/>
          <w:szCs w:val="24"/>
        </w:rPr>
        <w:tab/>
        <w:t xml:space="preserve">                     Gintaras </w:t>
      </w:r>
      <w:proofErr w:type="spellStart"/>
      <w:r w:rsidRPr="00AE0684">
        <w:rPr>
          <w:color w:val="000000"/>
          <w:spacing w:val="-4"/>
          <w:szCs w:val="24"/>
        </w:rPr>
        <w:t>Makšimas</w:t>
      </w:r>
      <w:proofErr w:type="spellEnd"/>
    </w:p>
    <w:p w14:paraId="7B3EE0AC" w14:textId="77777777" w:rsidR="00AE0684" w:rsidRPr="00AE0684" w:rsidRDefault="00AE0684" w:rsidP="00AE0684">
      <w:pPr>
        <w:widowControl w:val="0"/>
        <w:shd w:val="clear" w:color="auto" w:fill="FFFFFF"/>
        <w:jc w:val="both"/>
        <w:rPr>
          <w:color w:val="000000"/>
          <w:spacing w:val="-4"/>
          <w:szCs w:val="24"/>
        </w:rPr>
      </w:pPr>
    </w:p>
    <w:p w14:paraId="363E1A79" w14:textId="77777777" w:rsidR="00AE0684" w:rsidRPr="00AE0684" w:rsidRDefault="00AE0684" w:rsidP="00AE0684">
      <w:pPr>
        <w:widowControl w:val="0"/>
        <w:shd w:val="clear" w:color="auto" w:fill="FFFFFF"/>
        <w:jc w:val="both"/>
        <w:rPr>
          <w:color w:val="000000"/>
          <w:spacing w:val="-4"/>
          <w:szCs w:val="24"/>
        </w:rPr>
      </w:pPr>
    </w:p>
    <w:p w14:paraId="078A74B1" w14:textId="77777777" w:rsidR="00AE0684" w:rsidRPr="00AE0684" w:rsidRDefault="00AE0684" w:rsidP="00AE0684">
      <w:pPr>
        <w:widowControl w:val="0"/>
        <w:shd w:val="clear" w:color="auto" w:fill="FFFFFF"/>
        <w:jc w:val="both"/>
        <w:rPr>
          <w:color w:val="000000"/>
          <w:spacing w:val="-4"/>
          <w:szCs w:val="24"/>
        </w:rPr>
      </w:pPr>
    </w:p>
    <w:p w14:paraId="65AB70E2" w14:textId="77777777" w:rsidR="00AE0684" w:rsidRPr="00AE0684" w:rsidRDefault="00AE0684" w:rsidP="00AE0684">
      <w:pPr>
        <w:widowControl w:val="0"/>
        <w:shd w:val="clear" w:color="auto" w:fill="FFFFFF"/>
        <w:jc w:val="both"/>
        <w:rPr>
          <w:color w:val="000000"/>
          <w:spacing w:val="-4"/>
          <w:szCs w:val="24"/>
        </w:rPr>
      </w:pPr>
    </w:p>
    <w:p w14:paraId="5BEEF6EA" w14:textId="77777777" w:rsidR="00AE0684" w:rsidRPr="00AE0684" w:rsidRDefault="00AE0684" w:rsidP="00AE0684">
      <w:pPr>
        <w:widowControl w:val="0"/>
        <w:shd w:val="clear" w:color="auto" w:fill="FFFFFF"/>
        <w:jc w:val="both"/>
        <w:rPr>
          <w:color w:val="000000"/>
          <w:spacing w:val="-4"/>
          <w:szCs w:val="24"/>
        </w:rPr>
      </w:pPr>
    </w:p>
    <w:p w14:paraId="79834446" w14:textId="77777777" w:rsidR="00AE0684" w:rsidRPr="00AE0684" w:rsidRDefault="00AE0684" w:rsidP="00AE0684">
      <w:pPr>
        <w:widowControl w:val="0"/>
        <w:shd w:val="clear" w:color="auto" w:fill="FFFFFF"/>
        <w:jc w:val="both"/>
        <w:rPr>
          <w:color w:val="000000"/>
          <w:spacing w:val="-4"/>
          <w:szCs w:val="24"/>
        </w:rPr>
      </w:pPr>
    </w:p>
    <w:p w14:paraId="3BDF2665" w14:textId="77777777" w:rsidR="00AE0684" w:rsidRPr="00AE0684" w:rsidRDefault="00AE0684" w:rsidP="00AE0684">
      <w:pPr>
        <w:widowControl w:val="0"/>
        <w:shd w:val="clear" w:color="auto" w:fill="FFFFFF"/>
        <w:jc w:val="both"/>
        <w:rPr>
          <w:color w:val="000000"/>
          <w:spacing w:val="-4"/>
          <w:szCs w:val="24"/>
        </w:rPr>
      </w:pPr>
    </w:p>
    <w:p w14:paraId="7AD0B8FE" w14:textId="394111D6" w:rsidR="00AE0684" w:rsidRPr="00AE0684" w:rsidRDefault="00AE0684" w:rsidP="00AE0684">
      <w:pPr>
        <w:widowControl w:val="0"/>
        <w:shd w:val="clear" w:color="auto" w:fill="FFFFFF"/>
        <w:jc w:val="both"/>
        <w:rPr>
          <w:color w:val="000000"/>
          <w:spacing w:val="-4"/>
          <w:szCs w:val="24"/>
        </w:rPr>
      </w:pPr>
      <w:r w:rsidRPr="00AE0684">
        <w:rPr>
          <w:color w:val="000000"/>
          <w:spacing w:val="-4"/>
          <w:szCs w:val="24"/>
        </w:rPr>
        <w:t>Parengė</w:t>
      </w:r>
    </w:p>
    <w:p w14:paraId="3455F357" w14:textId="77777777" w:rsidR="00AE0684" w:rsidRPr="00AE0684" w:rsidRDefault="00AE0684" w:rsidP="00AE0684">
      <w:pPr>
        <w:widowControl w:val="0"/>
        <w:shd w:val="clear" w:color="auto" w:fill="FFFFFF"/>
        <w:jc w:val="both"/>
        <w:rPr>
          <w:color w:val="000000"/>
          <w:spacing w:val="-4"/>
          <w:szCs w:val="24"/>
        </w:rPr>
      </w:pPr>
      <w:r w:rsidRPr="00AE0684">
        <w:rPr>
          <w:color w:val="000000"/>
          <w:spacing w:val="-4"/>
          <w:szCs w:val="24"/>
        </w:rPr>
        <w:t>Rita Mažeikienė</w:t>
      </w:r>
    </w:p>
    <w:p w14:paraId="28622E77" w14:textId="6105C3D5" w:rsidR="00AC0669" w:rsidRDefault="00AE0684" w:rsidP="00AE0684">
      <w:pPr>
        <w:widowControl w:val="0"/>
        <w:shd w:val="clear" w:color="auto" w:fill="FFFFFF"/>
        <w:jc w:val="both"/>
      </w:pPr>
      <w:r w:rsidRPr="00AE0684">
        <w:rPr>
          <w:color w:val="000000"/>
          <w:spacing w:val="-4"/>
          <w:szCs w:val="24"/>
        </w:rPr>
        <w:t>2024-06-</w:t>
      </w:r>
      <w:r>
        <w:rPr>
          <w:color w:val="000000"/>
          <w:spacing w:val="-4"/>
          <w:szCs w:val="24"/>
        </w:rPr>
        <w:t>27</w:t>
      </w:r>
    </w:p>
    <w:sectPr w:rsidR="00AC0669">
      <w:headerReference w:type="first" r:id="rId8"/>
      <w:pgSz w:w="11906" w:h="16838"/>
      <w:pgMar w:top="1134" w:right="567" w:bottom="1134" w:left="1701" w:header="567" w:footer="0" w:gutter="0"/>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32919" w14:textId="77777777" w:rsidR="00652B00" w:rsidRDefault="00652B00">
      <w:r>
        <w:separator/>
      </w:r>
    </w:p>
  </w:endnote>
  <w:endnote w:type="continuationSeparator" w:id="0">
    <w:p w14:paraId="029564C1" w14:textId="77777777" w:rsidR="00652B00" w:rsidRDefault="0065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C5DCA" w14:textId="77777777" w:rsidR="00652B00" w:rsidRDefault="00652B00">
      <w:r>
        <w:separator/>
      </w:r>
    </w:p>
  </w:footnote>
  <w:footnote w:type="continuationSeparator" w:id="0">
    <w:p w14:paraId="483A1246" w14:textId="77777777" w:rsidR="00652B00" w:rsidRDefault="0065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B8EB" w14:textId="77777777" w:rsidR="00AC0669" w:rsidRDefault="00141872">
    <w:pPr>
      <w:pStyle w:val="Antrats"/>
    </w:pPr>
    <w:r>
      <w:t xml:space="preserve">                                                                                                                           </w:t>
    </w:r>
  </w:p>
  <w:p w14:paraId="1713C1A7" w14:textId="443BE09F" w:rsidR="00AC0669" w:rsidRDefault="00141872">
    <w:pPr>
      <w:pStyle w:val="Antrat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0CF9"/>
    <w:multiLevelType w:val="multilevel"/>
    <w:tmpl w:val="9BE2AA50"/>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6246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669"/>
    <w:rsid w:val="00141872"/>
    <w:rsid w:val="0049412A"/>
    <w:rsid w:val="00507CE9"/>
    <w:rsid w:val="0054572A"/>
    <w:rsid w:val="00612050"/>
    <w:rsid w:val="00652B00"/>
    <w:rsid w:val="00A022AD"/>
    <w:rsid w:val="00AC0669"/>
    <w:rsid w:val="00AE0684"/>
    <w:rsid w:val="00BF1C3E"/>
    <w:rsid w:val="00F172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1AD4"/>
  <w15:docId w15:val="{2126A62C-98DF-4CBB-B198-5E90D5D2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szCs w:val="20"/>
      <w:lang w:bidi="ar-SA"/>
    </w:rPr>
  </w:style>
  <w:style w:type="paragraph" w:styleId="Antrat1">
    <w:name w:val="heading 1"/>
    <w:basedOn w:val="prastasis"/>
    <w:next w:val="prastasis"/>
    <w:uiPriority w:val="9"/>
    <w:qFormat/>
    <w:pPr>
      <w:keepNext/>
      <w:numPr>
        <w:numId w:val="1"/>
      </w:numPr>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2z0">
    <w:name w:val="WW8Num2z0"/>
    <w:qFormat/>
  </w:style>
  <w:style w:type="character" w:customStyle="1" w:styleId="Heading1Char">
    <w:name w:val="Heading 1 Char"/>
    <w:qFormat/>
    <w:rPr>
      <w:rFonts w:ascii="Times New Roman" w:hAnsi="Times New Roman" w:cs="Times New Roman"/>
      <w:b/>
      <w:sz w:val="20"/>
    </w:rPr>
  </w:style>
  <w:style w:type="character" w:customStyle="1" w:styleId="HeaderChar">
    <w:name w:val="Header Char"/>
    <w:qFormat/>
    <w:rPr>
      <w:rFonts w:ascii="Times New Roman" w:hAnsi="Times New Roman" w:cs="Times New Roman"/>
      <w:sz w:val="20"/>
    </w:rPr>
  </w:style>
  <w:style w:type="character" w:customStyle="1" w:styleId="BalloonTextChar">
    <w:name w:val="Balloon Text Char"/>
    <w:qFormat/>
    <w:rPr>
      <w:rFonts w:ascii="Tahoma" w:hAnsi="Tahoma" w:cs="Tahoma"/>
      <w:sz w:val="16"/>
    </w:rPr>
  </w:style>
  <w:style w:type="character" w:customStyle="1" w:styleId="FooterChar">
    <w:name w:val="Footer Char"/>
    <w:qFormat/>
    <w:rPr>
      <w:sz w:val="24"/>
    </w:rPr>
  </w:style>
  <w:style w:type="character" w:customStyle="1" w:styleId="BalloonTextChar1">
    <w:name w:val="Balloon Text Char1"/>
    <w:qFormat/>
    <w:rPr>
      <w:rFonts w:ascii="Segoe UI" w:hAnsi="Segoe UI" w:cs="Segoe UI"/>
      <w:sz w:val="18"/>
      <w:szCs w:val="18"/>
    </w:rPr>
  </w:style>
  <w:style w:type="character" w:customStyle="1" w:styleId="TitleChar">
    <w:name w:val="Title Char"/>
    <w:qFormat/>
    <w:rPr>
      <w:rFonts w:ascii="Calibri Light" w:eastAsia="Times New Roman" w:hAnsi="Calibri Light" w:cs="Times New Roman"/>
      <w:b/>
      <w:bCs/>
      <w:kern w:val="2"/>
      <w:sz w:val="32"/>
      <w:szCs w:val="32"/>
    </w:rPr>
  </w:style>
  <w:style w:type="paragraph" w:customStyle="1" w:styleId="Heading">
    <w:name w:val="Heading"/>
    <w:basedOn w:val="prastasis"/>
    <w:next w:val="prastasis"/>
    <w:qFormat/>
    <w:pPr>
      <w:spacing w:before="240" w:after="60"/>
      <w:jc w:val="center"/>
      <w:outlineLvl w:val="0"/>
    </w:pPr>
    <w:rPr>
      <w:rFonts w:ascii="Calibri Light" w:hAnsi="Calibri Light"/>
      <w:b/>
      <w:bCs/>
      <w:kern w:val="2"/>
      <w:sz w:val="32"/>
      <w:szCs w:val="32"/>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styleId="Antrat">
    <w:name w:val="caption"/>
    <w:basedOn w:val="prastasis"/>
    <w:next w:val="prastasis"/>
    <w:qFormat/>
    <w:pPr>
      <w:jc w:val="center"/>
    </w:pPr>
    <w:rPr>
      <w:b/>
      <w:sz w:val="28"/>
    </w:rPr>
  </w:style>
  <w:style w:type="paragraph" w:customStyle="1" w:styleId="Index">
    <w:name w:val="Index"/>
    <w:basedOn w:val="prastasis"/>
    <w:qFormat/>
    <w:pPr>
      <w:suppressLineNumbers/>
    </w:pPr>
    <w:rPr>
      <w:rFonts w:cs="Lucida Sans"/>
    </w:rPr>
  </w:style>
  <w:style w:type="paragraph" w:customStyle="1" w:styleId="HeaderandFooter">
    <w:name w:val="Header and Footer"/>
    <w:basedOn w:val="prastasis"/>
    <w:qFormat/>
    <w:pPr>
      <w:suppressLineNumbers/>
      <w:tabs>
        <w:tab w:val="center" w:pos="4819"/>
        <w:tab w:val="right" w:pos="9638"/>
      </w:tabs>
    </w:pPr>
  </w:style>
  <w:style w:type="paragraph" w:styleId="Antrats">
    <w:name w:val="header"/>
    <w:basedOn w:val="prastasis"/>
    <w:pPr>
      <w:tabs>
        <w:tab w:val="center" w:pos="4153"/>
        <w:tab w:val="right" w:pos="8306"/>
      </w:tabs>
    </w:pPr>
  </w:style>
  <w:style w:type="paragraph" w:customStyle="1" w:styleId="ListParagraph1">
    <w:name w:val="List Paragraph1"/>
    <w:basedOn w:val="prastasis"/>
    <w:qFormat/>
    <w:pPr>
      <w:ind w:left="720"/>
    </w:pPr>
  </w:style>
  <w:style w:type="paragraph" w:customStyle="1" w:styleId="BalloonText1">
    <w:name w:val="Balloon Text1"/>
    <w:basedOn w:val="prastasis"/>
    <w:qFormat/>
    <w:rPr>
      <w:rFonts w:ascii="Tahoma" w:hAnsi="Tahoma" w:cs="Tahoma"/>
      <w:sz w:val="16"/>
      <w:szCs w:val="16"/>
    </w:rPr>
  </w:style>
  <w:style w:type="paragraph" w:styleId="Porat">
    <w:name w:val="footer"/>
    <w:basedOn w:val="prastasis"/>
    <w:pPr>
      <w:tabs>
        <w:tab w:val="center" w:pos="4819"/>
        <w:tab w:val="right" w:pos="9638"/>
      </w:tabs>
    </w:pPr>
  </w:style>
  <w:style w:type="paragraph" w:styleId="Debesliotekstas">
    <w:name w:val="Balloon Text"/>
    <w:basedOn w:val="prastasis"/>
    <w:qFormat/>
    <w:rPr>
      <w:rFonts w:ascii="Segoe UI" w:hAnsi="Segoe UI" w:cs="Segoe UI"/>
      <w:sz w:val="18"/>
      <w:szCs w:val="18"/>
    </w:rPr>
  </w:style>
  <w:style w:type="paragraph" w:styleId="Betarp">
    <w:name w:val="No Spacing"/>
    <w:qFormat/>
    <w:pPr>
      <w:overflowPunct w:val="0"/>
      <w:autoSpaceDE w:val="0"/>
      <w:textAlignment w:val="baseline"/>
    </w:pPr>
    <w:rPr>
      <w:rFonts w:ascii="Times New Roman" w:eastAsia="Times New Roman" w:hAnsi="Times New Roman" w:cs="Times New Roman"/>
      <w:szCs w:val="20"/>
      <w:lang w:val="en-GB" w:bidi="ar-SA"/>
    </w:rP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1184</Words>
  <Characters>676</Characters>
  <Application>Microsoft Office Word</Application>
  <DocSecurity>0</DocSecurity>
  <Lines>5</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251658240</dc:title>
  <dc:creator>m10198</dc:creator>
  <cp:lastModifiedBy>MAŽEIKIENĖ, Rita | Turto bankas</cp:lastModifiedBy>
  <cp:revision>7</cp:revision>
  <cp:lastPrinted>2017-06-28T10:49:00Z</cp:lastPrinted>
  <dcterms:created xsi:type="dcterms:W3CDTF">2024-06-26T12:53:00Z</dcterms:created>
  <dcterms:modified xsi:type="dcterms:W3CDTF">2024-06-27T11:40:00Z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_activity">
    <vt:lpwstr/>
  </property>
</Properties>
</file>