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1F49" w14:textId="77777777" w:rsidR="007E2E40" w:rsidRDefault="001E7A82">
      <w:pPr>
        <w:pStyle w:val="Antrat"/>
        <w:ind w:right="-1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028E8B1B" wp14:editId="317B4B8C">
            <wp:extent cx="403860" cy="406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5" t="-25" r="-2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14D9" w14:textId="77777777" w:rsidR="007E2E40" w:rsidRDefault="007E2E40">
      <w:pPr>
        <w:pStyle w:val="Antrats"/>
        <w:tabs>
          <w:tab w:val="clear" w:pos="4153"/>
          <w:tab w:val="clear" w:pos="8306"/>
        </w:tabs>
        <w:ind w:right="-1"/>
      </w:pPr>
    </w:p>
    <w:p w14:paraId="09BEC72A" w14:textId="77777777" w:rsidR="007E2E40" w:rsidRDefault="001E7A82">
      <w:pPr>
        <w:pStyle w:val="Antrat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>VALSTYBĖS ĮMONĖS TURTO BANKO</w:t>
      </w:r>
    </w:p>
    <w:p w14:paraId="76EB5352" w14:textId="77777777" w:rsidR="007E2E40" w:rsidRDefault="001E7A82">
      <w:pPr>
        <w:pStyle w:val="Antrat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>GENERALINIS DIREKTORIUS</w:t>
      </w:r>
    </w:p>
    <w:p w14:paraId="3CE8726A" w14:textId="77777777" w:rsidR="007E2E40" w:rsidRDefault="007E2E40">
      <w:pPr>
        <w:spacing w:line="276" w:lineRule="auto"/>
        <w:ind w:right="-1"/>
        <w:rPr>
          <w:szCs w:val="24"/>
        </w:rPr>
      </w:pPr>
    </w:p>
    <w:p w14:paraId="3C7A2FA3" w14:textId="77777777" w:rsidR="007E2E40" w:rsidRDefault="001E7A82">
      <w:pPr>
        <w:pStyle w:val="Antrat1"/>
        <w:spacing w:line="276" w:lineRule="auto"/>
        <w:ind w:right="-1"/>
      </w:pPr>
      <w:r>
        <w:t>ĮSAKYMAS</w:t>
      </w:r>
    </w:p>
    <w:tbl>
      <w:tblPr>
        <w:tblW w:w="98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7E2E40" w14:paraId="438EA832" w14:textId="77777777">
        <w:tc>
          <w:tcPr>
            <w:tcW w:w="9855" w:type="dxa"/>
          </w:tcPr>
          <w:p w14:paraId="368265F8" w14:textId="3B6E3D18" w:rsidR="007E2E40" w:rsidRDefault="001E7A82">
            <w:pPr>
              <w:spacing w:after="2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DĖL NEKILNOJAMOJO TURTO</w:t>
            </w:r>
            <w:r w:rsidR="00BB5222">
              <w:rPr>
                <w:b/>
                <w:bCs/>
              </w:rPr>
              <w:t>, ESANČIO</w:t>
            </w:r>
            <w:r>
              <w:rPr>
                <w:b/>
                <w:bCs/>
              </w:rPr>
              <w:t xml:space="preserve"> </w:t>
            </w:r>
            <w:r w:rsidR="006F659A">
              <w:rPr>
                <w:b/>
                <w:bCs/>
              </w:rPr>
              <w:t>VILNIUJE</w:t>
            </w:r>
            <w:r w:rsidR="007307DC">
              <w:rPr>
                <w:b/>
                <w:bCs/>
              </w:rPr>
              <w:t xml:space="preserve">, </w:t>
            </w:r>
            <w:r w:rsidR="006F659A">
              <w:rPr>
                <w:b/>
                <w:bCs/>
              </w:rPr>
              <w:t>DŽIAUGSMO</w:t>
            </w:r>
            <w:r w:rsidR="007307DC">
              <w:rPr>
                <w:b/>
                <w:bCs/>
              </w:rPr>
              <w:t xml:space="preserve"> G</w:t>
            </w:r>
            <w:r w:rsidR="007307DC" w:rsidRPr="004D7BF5">
              <w:rPr>
                <w:b/>
                <w:bCs/>
              </w:rPr>
              <w:t xml:space="preserve">. </w:t>
            </w:r>
            <w:r w:rsidR="00B30C9E" w:rsidRPr="004D7BF5">
              <w:rPr>
                <w:b/>
                <w:bCs/>
              </w:rPr>
              <w:t>44</w:t>
            </w:r>
            <w:r w:rsidR="00CD7CD1" w:rsidRPr="004D7BF5">
              <w:rPr>
                <w:b/>
                <w:bCs/>
              </w:rPr>
              <w:t xml:space="preserve"> ir</w:t>
            </w:r>
            <w:r w:rsidR="00CD7CD1">
              <w:rPr>
                <w:b/>
                <w:bCs/>
              </w:rPr>
              <w:t xml:space="preserve"> 46</w:t>
            </w:r>
            <w:r w:rsidR="00BB522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PERDAVIMO </w:t>
            </w:r>
            <w:r w:rsidR="005C4EB6" w:rsidRPr="005C4EB6">
              <w:rPr>
                <w:b/>
                <w:bCs/>
              </w:rPr>
              <w:t>LIETUVOS ĮTRAUKTIES ŠVIETIME CENTRUI</w:t>
            </w:r>
            <w:r w:rsidR="005C4EB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PATIKĖJIMO TEISE</w:t>
            </w:r>
          </w:p>
        </w:tc>
      </w:tr>
    </w:tbl>
    <w:p w14:paraId="52D75C7B" w14:textId="77777777" w:rsidR="007E2E40" w:rsidRDefault="007E2E40">
      <w:pPr>
        <w:spacing w:after="20"/>
        <w:jc w:val="center"/>
      </w:pPr>
    </w:p>
    <w:p w14:paraId="2B03BE1D" w14:textId="2C947161" w:rsidR="007E2E40" w:rsidRDefault="001E7A82">
      <w:pPr>
        <w:jc w:val="center"/>
      </w:pPr>
      <w:r>
        <w:t>202</w:t>
      </w:r>
      <w:r w:rsidR="00B30C9E">
        <w:t>6</w:t>
      </w:r>
      <w:r>
        <w:t xml:space="preserve"> m</w:t>
      </w:r>
      <w:r w:rsidR="004C20F5">
        <w:t xml:space="preserve">. balandžio 14 </w:t>
      </w:r>
      <w:r>
        <w:t>d. Nr.</w:t>
      </w:r>
      <w:r w:rsidR="004C20F5">
        <w:t xml:space="preserve"> </w:t>
      </w:r>
      <w:r w:rsidR="004C20F5" w:rsidRPr="004C20F5">
        <w:t>ĮSK-PAT-5</w:t>
      </w:r>
    </w:p>
    <w:p w14:paraId="49A139CC" w14:textId="77777777" w:rsidR="007E2E40" w:rsidRDefault="001E7A82">
      <w:pPr>
        <w:jc w:val="center"/>
      </w:pPr>
      <w:r>
        <w:t>Vilnius</w:t>
      </w:r>
    </w:p>
    <w:p w14:paraId="49332A17" w14:textId="77777777" w:rsidR="007E2E40" w:rsidRDefault="007E2E40">
      <w:pPr>
        <w:jc w:val="center"/>
      </w:pPr>
    </w:p>
    <w:p w14:paraId="6538762B" w14:textId="422AED5A" w:rsidR="002F4F51" w:rsidRPr="002F4F51" w:rsidRDefault="002F4F51" w:rsidP="79E6CDDF">
      <w:pPr>
        <w:tabs>
          <w:tab w:val="left" w:pos="6237"/>
        </w:tabs>
        <w:ind w:firstLine="720"/>
        <w:jc w:val="both"/>
      </w:pPr>
      <w:r>
        <w:t>Vadovaudamasis Lietuvos Respublikos valstybės ir savivaldybių turto valdymo, naudojimo ir disponavimo juo įstatymo 10 straipsniu ir įgyvendindamas Valstybės turto perdavimo patikėjimo teise</w:t>
      </w:r>
      <w:r w:rsidR="30834CA2">
        <w:t xml:space="preserve"> ir savivaldybių nuosavybėn</w:t>
      </w:r>
      <w:r>
        <w:t xml:space="preserve"> tvarkos aprašą, patvirtintą Lietuvos Respublikos Vyriausybės 2001 m. sausio 5 d. nutarimu Nr. 16 „Dėl valstybės turto perdavimo patikėjimo teise ir savivaldybių nuosavybėn“,</w:t>
      </w:r>
    </w:p>
    <w:p w14:paraId="1F170D47" w14:textId="77777777" w:rsidR="004658F0" w:rsidRDefault="008655C4" w:rsidP="004658F0">
      <w:pPr>
        <w:tabs>
          <w:tab w:val="left" w:pos="6237"/>
        </w:tabs>
        <w:ind w:firstLine="720"/>
        <w:jc w:val="both"/>
        <w:rPr>
          <w:szCs w:val="24"/>
        </w:rPr>
      </w:pPr>
      <w:r w:rsidRPr="004D7BF5">
        <w:rPr>
          <w:szCs w:val="24"/>
        </w:rPr>
        <w:t xml:space="preserve">p e r d u o d u </w:t>
      </w:r>
      <w:r w:rsidR="005C4EB6" w:rsidRPr="004D7BF5">
        <w:rPr>
          <w:szCs w:val="24"/>
        </w:rPr>
        <w:t xml:space="preserve">Lietuvos įtraukties švietime centrui </w:t>
      </w:r>
      <w:r w:rsidRPr="004D7BF5">
        <w:rPr>
          <w:szCs w:val="24"/>
        </w:rPr>
        <w:t xml:space="preserve">patikėjimo teise valdyti, naudoti ir disponuoti juo jo nuostatuose numatytai veiklai vykdyti valstybei nuosavybės teise priklausantį ir šiuo metu </w:t>
      </w:r>
      <w:r w:rsidR="005C4EB6" w:rsidRPr="004D7BF5">
        <w:rPr>
          <w:szCs w:val="24"/>
        </w:rPr>
        <w:t>VĮ Turto bank</w:t>
      </w:r>
      <w:r w:rsidR="00AB34C9" w:rsidRPr="004D7BF5">
        <w:rPr>
          <w:szCs w:val="24"/>
        </w:rPr>
        <w:t>o</w:t>
      </w:r>
      <w:r w:rsidRPr="004D7BF5">
        <w:rPr>
          <w:szCs w:val="24"/>
        </w:rPr>
        <w:t xml:space="preserve"> patikėjimo teise valdomą nekilnojamąjį turtą</w:t>
      </w:r>
      <w:r w:rsidR="00AB34C9" w:rsidRPr="004D7BF5">
        <w:rPr>
          <w:szCs w:val="24"/>
        </w:rPr>
        <w:t>, esantį</w:t>
      </w:r>
      <w:r w:rsidR="00A60E52" w:rsidRPr="004D7BF5">
        <w:rPr>
          <w:szCs w:val="24"/>
        </w:rPr>
        <w:t xml:space="preserve"> </w:t>
      </w:r>
      <w:r w:rsidR="005C4EB6" w:rsidRPr="004D7BF5">
        <w:rPr>
          <w:szCs w:val="24"/>
        </w:rPr>
        <w:t>Vilniuje</w:t>
      </w:r>
      <w:r w:rsidR="00A60E52" w:rsidRPr="004D7BF5">
        <w:rPr>
          <w:szCs w:val="24"/>
        </w:rPr>
        <w:t xml:space="preserve">, </w:t>
      </w:r>
      <w:r w:rsidR="005C4EB6" w:rsidRPr="004D7BF5">
        <w:rPr>
          <w:szCs w:val="24"/>
        </w:rPr>
        <w:t>Džiaugsm</w:t>
      </w:r>
      <w:r w:rsidR="009F1705" w:rsidRPr="004D7BF5">
        <w:rPr>
          <w:szCs w:val="24"/>
        </w:rPr>
        <w:t>o</w:t>
      </w:r>
      <w:r w:rsidR="00A60E52" w:rsidRPr="004D7BF5">
        <w:rPr>
          <w:szCs w:val="24"/>
        </w:rPr>
        <w:t xml:space="preserve"> g. </w:t>
      </w:r>
      <w:r w:rsidR="00CD7CD1" w:rsidRPr="004D7BF5">
        <w:rPr>
          <w:szCs w:val="24"/>
        </w:rPr>
        <w:t xml:space="preserve">44 ir </w:t>
      </w:r>
      <w:r w:rsidR="009F1705" w:rsidRPr="004D7BF5">
        <w:rPr>
          <w:szCs w:val="24"/>
        </w:rPr>
        <w:t>4</w:t>
      </w:r>
      <w:r w:rsidR="00416801" w:rsidRPr="004D7BF5">
        <w:rPr>
          <w:szCs w:val="24"/>
        </w:rPr>
        <w:t>6</w:t>
      </w:r>
      <w:r w:rsidRPr="004D7BF5">
        <w:rPr>
          <w:szCs w:val="24"/>
        </w:rPr>
        <w:t>:</w:t>
      </w:r>
    </w:p>
    <w:p w14:paraId="06A0ABEA" w14:textId="742A8E26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1.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>Ūkinį pastatą (unikalus Nr. 1093-4001-4040, žymėjimas plane - 26I1/ž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BB2A3E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BB2A3E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5318619B" w14:textId="771871CD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2.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>Ūkinį pastatą</w:t>
      </w:r>
      <w:r w:rsidR="00AA502A" w:rsidRPr="00EC79DF">
        <w:rPr>
          <w:szCs w:val="24"/>
        </w:rPr>
        <w:t xml:space="preserve"> (</w:t>
      </w:r>
      <w:r w:rsidRPr="00EC79DF">
        <w:rPr>
          <w:szCs w:val="24"/>
        </w:rPr>
        <w:t>unikalus Nr. 1093-4001-4051, žymėjimas plane - 3I1/ž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0850E6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0850E6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38564F65" w14:textId="52B45E14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3.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>Ūkinį pastatą</w:t>
      </w:r>
      <w:r w:rsidR="00AA502A" w:rsidRPr="00EC79DF">
        <w:rPr>
          <w:szCs w:val="24"/>
        </w:rPr>
        <w:t xml:space="preserve"> (</w:t>
      </w:r>
      <w:r w:rsidRPr="00EC79DF">
        <w:rPr>
          <w:szCs w:val="24"/>
        </w:rPr>
        <w:t xml:space="preserve">unikalus Nr. 1093-4001-4062, žymėjimas plane - </w:t>
      </w:r>
      <w:r w:rsidR="00AA502A" w:rsidRPr="00EC79DF">
        <w:rPr>
          <w:szCs w:val="24"/>
        </w:rPr>
        <w:t>4I1/ž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0850E6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0850E6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5695029C" w14:textId="77777777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 xml:space="preserve">4. 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1093-4001-4073, žymėjimas plane - </w:t>
      </w:r>
      <w:r w:rsidR="00AA502A" w:rsidRPr="00EC79DF">
        <w:rPr>
          <w:szCs w:val="24"/>
        </w:rPr>
        <w:t>5I1/ž</w:t>
      </w:r>
      <w:r w:rsidR="00BB2A3E" w:rsidRPr="00EC79DF">
        <w:rPr>
          <w:szCs w:val="24"/>
        </w:rPr>
        <w:t xml:space="preserve">, likutinė vertė 2026 m. kovo 17 d. – </w:t>
      </w:r>
      <w:r w:rsidR="00834F3B" w:rsidRPr="00EC79DF">
        <w:rPr>
          <w:szCs w:val="24"/>
        </w:rPr>
        <w:t>123,58</w:t>
      </w:r>
      <w:r w:rsidR="00BB2A3E" w:rsidRPr="00EC79DF">
        <w:rPr>
          <w:szCs w:val="24"/>
        </w:rPr>
        <w:t xml:space="preserve"> eurų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5B95F07D" w14:textId="06377309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5.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>Ūkinį pastatą</w:t>
      </w:r>
      <w:r w:rsidR="00AA502A" w:rsidRPr="00EC79DF">
        <w:rPr>
          <w:szCs w:val="24"/>
        </w:rPr>
        <w:t xml:space="preserve"> (</w:t>
      </w:r>
      <w:r w:rsidRPr="00EC79DF">
        <w:rPr>
          <w:szCs w:val="24"/>
        </w:rPr>
        <w:t xml:space="preserve">unikalus Nr. 1093-4001-4084, žymėjimas plane - </w:t>
      </w:r>
      <w:r w:rsidR="00AA502A" w:rsidRPr="00EC79DF">
        <w:rPr>
          <w:szCs w:val="24"/>
        </w:rPr>
        <w:t>6I1/ž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0850E6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0850E6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769EFB87" w14:textId="77777777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6.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 xml:space="preserve">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1093-4001-4095, žymėjimas plane - </w:t>
      </w:r>
      <w:r w:rsidR="00AA502A" w:rsidRPr="00EC79DF">
        <w:rPr>
          <w:szCs w:val="24"/>
        </w:rPr>
        <w:t>7I1/m</w:t>
      </w:r>
      <w:r w:rsidR="00BB2A3E" w:rsidRPr="00EC79DF">
        <w:rPr>
          <w:szCs w:val="24"/>
        </w:rPr>
        <w:t xml:space="preserve">, likutinė vertė 2026 m. kovo 17 d. – </w:t>
      </w:r>
      <w:r w:rsidR="002B7721" w:rsidRPr="00EC79DF">
        <w:rPr>
          <w:szCs w:val="24"/>
        </w:rPr>
        <w:t>58</w:t>
      </w:r>
      <w:r w:rsidR="00BB2A3E" w:rsidRPr="00EC79DF">
        <w:rPr>
          <w:szCs w:val="24"/>
        </w:rPr>
        <w:t>,</w:t>
      </w:r>
      <w:r w:rsidR="006D3AC5" w:rsidRPr="00EC79DF">
        <w:rPr>
          <w:szCs w:val="24"/>
        </w:rPr>
        <w:t>57</w:t>
      </w:r>
      <w:r w:rsidR="00BB2A3E" w:rsidRPr="00EC79DF">
        <w:rPr>
          <w:szCs w:val="24"/>
        </w:rPr>
        <w:t xml:space="preserve"> eurų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28868C75" w14:textId="2273A3F5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7.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 xml:space="preserve">Stoginę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1093-4001-4108, žymėjimas plane - </w:t>
      </w:r>
      <w:r w:rsidR="00AA502A" w:rsidRPr="00EC79DF">
        <w:rPr>
          <w:szCs w:val="24"/>
        </w:rPr>
        <w:t>8I1/ž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0850E6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0850E6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3853AC80" w14:textId="77777777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8.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 xml:space="preserve">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1093-4001-4119, žymėjimas plane - </w:t>
      </w:r>
      <w:r w:rsidR="00AA502A" w:rsidRPr="00EC79DF">
        <w:rPr>
          <w:szCs w:val="24"/>
        </w:rPr>
        <w:t>9I1/p</w:t>
      </w:r>
      <w:r w:rsidR="00BB2A3E" w:rsidRPr="00EC79DF">
        <w:rPr>
          <w:szCs w:val="24"/>
        </w:rPr>
        <w:t xml:space="preserve">, likutinė vertė 2026 m. kovo 17 d. – </w:t>
      </w:r>
      <w:r w:rsidR="00EC79DF" w:rsidRPr="00EC79DF">
        <w:rPr>
          <w:szCs w:val="24"/>
        </w:rPr>
        <w:t>3 594,17</w:t>
      </w:r>
      <w:r w:rsidR="00BB2A3E" w:rsidRPr="00EC79DF">
        <w:rPr>
          <w:szCs w:val="24"/>
        </w:rPr>
        <w:t xml:space="preserve"> eurų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  <w:r w:rsidR="00AA502A" w:rsidRPr="00EC79DF">
        <w:rPr>
          <w:szCs w:val="24"/>
        </w:rPr>
        <w:t xml:space="preserve"> </w:t>
      </w:r>
    </w:p>
    <w:p w14:paraId="4939BB67" w14:textId="77777777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9.</w:t>
      </w:r>
      <w:r w:rsidR="004658F0">
        <w:rPr>
          <w:szCs w:val="24"/>
        </w:rPr>
        <w:t xml:space="preserve"> </w:t>
      </w:r>
      <w:r w:rsidRPr="00EC79DF">
        <w:rPr>
          <w:szCs w:val="24"/>
        </w:rPr>
        <w:t xml:space="preserve">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1093-4001-4120, žymėjimas plane - </w:t>
      </w:r>
      <w:r w:rsidR="00AA502A" w:rsidRPr="00EC79DF">
        <w:rPr>
          <w:szCs w:val="24"/>
        </w:rPr>
        <w:t>10I1/p</w:t>
      </w:r>
      <w:r w:rsidR="00BB2A3E" w:rsidRPr="00EC79DF">
        <w:rPr>
          <w:szCs w:val="24"/>
        </w:rPr>
        <w:t xml:space="preserve">, likutinė vertė 2026 m. kovo 17 d. – </w:t>
      </w:r>
      <w:r w:rsidR="00141D31" w:rsidRPr="00EC79DF">
        <w:rPr>
          <w:szCs w:val="24"/>
        </w:rPr>
        <w:t>580</w:t>
      </w:r>
      <w:r w:rsidR="00BB2A3E" w:rsidRPr="00EC79DF">
        <w:rPr>
          <w:szCs w:val="24"/>
        </w:rPr>
        <w:t>,</w:t>
      </w:r>
      <w:r w:rsidR="00141D31" w:rsidRPr="00EC79DF">
        <w:rPr>
          <w:szCs w:val="24"/>
        </w:rPr>
        <w:t>2</w:t>
      </w:r>
      <w:r w:rsidR="00BB2A3E" w:rsidRPr="00EC79DF">
        <w:rPr>
          <w:szCs w:val="24"/>
        </w:rPr>
        <w:t>0 eurų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1924DFC3" w14:textId="5FF2C3AD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10.</w:t>
      </w:r>
      <w:r w:rsidR="00107E14">
        <w:rPr>
          <w:szCs w:val="24"/>
        </w:rPr>
        <w:t xml:space="preserve"> </w:t>
      </w:r>
      <w:r w:rsidRPr="00EC79DF">
        <w:rPr>
          <w:szCs w:val="24"/>
        </w:rPr>
        <w:t xml:space="preserve">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1093-4001-4132, žymėjimas plane - </w:t>
      </w:r>
      <w:r w:rsidR="00AA502A" w:rsidRPr="00EC79DF">
        <w:rPr>
          <w:szCs w:val="24"/>
        </w:rPr>
        <w:t>11I1/m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0850E6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0850E6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2DD5B57E" w14:textId="46A63570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11.</w:t>
      </w:r>
      <w:r w:rsidR="00107E14">
        <w:rPr>
          <w:szCs w:val="24"/>
        </w:rPr>
        <w:t xml:space="preserve"> </w:t>
      </w:r>
      <w:r w:rsidRPr="00EC79DF">
        <w:rPr>
          <w:szCs w:val="24"/>
        </w:rPr>
        <w:t xml:space="preserve">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1093-4001-4140, žymėjimas plane - </w:t>
      </w:r>
      <w:r w:rsidR="00AA502A" w:rsidRPr="00EC79DF">
        <w:rPr>
          <w:szCs w:val="24"/>
        </w:rPr>
        <w:t>12I1/b</w:t>
      </w:r>
      <w:r w:rsidR="00BB2A3E" w:rsidRPr="00EC79DF">
        <w:rPr>
          <w:szCs w:val="24"/>
        </w:rPr>
        <w:t xml:space="preserve">, </w:t>
      </w:r>
      <w:r w:rsidR="000850E6">
        <w:rPr>
          <w:szCs w:val="24"/>
        </w:rPr>
        <w:t xml:space="preserve">be </w:t>
      </w:r>
      <w:r w:rsidR="000850E6" w:rsidRPr="00EC79DF">
        <w:rPr>
          <w:szCs w:val="24"/>
        </w:rPr>
        <w:t>likutinė</w:t>
      </w:r>
      <w:r w:rsidR="000850E6">
        <w:rPr>
          <w:szCs w:val="24"/>
        </w:rPr>
        <w:t>s</w:t>
      </w:r>
      <w:r w:rsidR="000850E6" w:rsidRPr="00EC79DF">
        <w:rPr>
          <w:szCs w:val="24"/>
        </w:rPr>
        <w:t xml:space="preserve"> vertė</w:t>
      </w:r>
      <w:r w:rsidR="000850E6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04943EA0" w14:textId="4A2D3E26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12.</w:t>
      </w:r>
      <w:r w:rsidR="00107E14">
        <w:rPr>
          <w:szCs w:val="24"/>
        </w:rPr>
        <w:t xml:space="preserve"> </w:t>
      </w:r>
      <w:r w:rsidRPr="00EC79DF">
        <w:rPr>
          <w:szCs w:val="24"/>
        </w:rPr>
        <w:t xml:space="preserve">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1093-4001-4151, žymėjimas plane - </w:t>
      </w:r>
      <w:r w:rsidR="00AA502A" w:rsidRPr="00EC79DF">
        <w:rPr>
          <w:szCs w:val="24"/>
        </w:rPr>
        <w:t>13I1/b</w:t>
      </w:r>
      <w:r w:rsidR="00BB2A3E" w:rsidRPr="00EC79DF">
        <w:rPr>
          <w:szCs w:val="24"/>
        </w:rPr>
        <w:t xml:space="preserve">, </w:t>
      </w:r>
      <w:r w:rsidR="00963381">
        <w:rPr>
          <w:szCs w:val="24"/>
        </w:rPr>
        <w:t xml:space="preserve">be </w:t>
      </w:r>
      <w:r w:rsidR="00963381" w:rsidRPr="00EC79DF">
        <w:rPr>
          <w:szCs w:val="24"/>
        </w:rPr>
        <w:t>likutinė</w:t>
      </w:r>
      <w:r w:rsidR="00963381">
        <w:rPr>
          <w:szCs w:val="24"/>
        </w:rPr>
        <w:t>s</w:t>
      </w:r>
      <w:r w:rsidR="00963381" w:rsidRPr="00EC79DF">
        <w:rPr>
          <w:szCs w:val="24"/>
        </w:rPr>
        <w:t xml:space="preserve"> vertė</w:t>
      </w:r>
      <w:r w:rsidR="00963381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558959B4" w14:textId="176DFD03" w:rsidR="00107E14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 xml:space="preserve">13. Ūkinį pastatą </w:t>
      </w:r>
      <w:r w:rsidR="00AA502A" w:rsidRPr="00EC79DF">
        <w:rPr>
          <w:szCs w:val="24"/>
        </w:rPr>
        <w:t>(</w:t>
      </w:r>
      <w:r w:rsidRPr="00EC79DF">
        <w:rPr>
          <w:szCs w:val="24"/>
        </w:rPr>
        <w:t xml:space="preserve">unikalus Nr. 1093-4001-4162, žymėjimas plane - </w:t>
      </w:r>
      <w:r w:rsidR="00AA502A" w:rsidRPr="00EC79DF">
        <w:rPr>
          <w:szCs w:val="24"/>
        </w:rPr>
        <w:t>15I1/ž</w:t>
      </w:r>
      <w:r w:rsidR="00BB2A3E" w:rsidRPr="00EC79DF">
        <w:rPr>
          <w:szCs w:val="24"/>
        </w:rPr>
        <w:t xml:space="preserve">, </w:t>
      </w:r>
      <w:r w:rsidR="00963381">
        <w:rPr>
          <w:szCs w:val="24"/>
        </w:rPr>
        <w:t xml:space="preserve">be </w:t>
      </w:r>
      <w:r w:rsidR="00963381" w:rsidRPr="00EC79DF">
        <w:rPr>
          <w:szCs w:val="24"/>
        </w:rPr>
        <w:t>likutinė</w:t>
      </w:r>
      <w:r w:rsidR="00963381">
        <w:rPr>
          <w:szCs w:val="24"/>
        </w:rPr>
        <w:t>s</w:t>
      </w:r>
      <w:r w:rsidR="00963381" w:rsidRPr="00EC79DF">
        <w:rPr>
          <w:szCs w:val="24"/>
        </w:rPr>
        <w:t xml:space="preserve"> vertė</w:t>
      </w:r>
      <w:r w:rsidR="00963381">
        <w:rPr>
          <w:szCs w:val="24"/>
        </w:rPr>
        <w:t>s</w:t>
      </w:r>
      <w:r w:rsidR="00AA502A" w:rsidRPr="00EC79DF">
        <w:rPr>
          <w:szCs w:val="24"/>
        </w:rPr>
        <w:t>)</w:t>
      </w:r>
      <w:r w:rsidRPr="00EC79DF">
        <w:rPr>
          <w:szCs w:val="24"/>
        </w:rPr>
        <w:t>;</w:t>
      </w:r>
    </w:p>
    <w:p w14:paraId="14C11C3D" w14:textId="0613A675" w:rsidR="00E75B12" w:rsidRDefault="00100AF6" w:rsidP="00107E14">
      <w:pPr>
        <w:tabs>
          <w:tab w:val="left" w:pos="6237"/>
        </w:tabs>
        <w:ind w:firstLine="720"/>
        <w:jc w:val="both"/>
        <w:rPr>
          <w:szCs w:val="24"/>
        </w:rPr>
      </w:pPr>
      <w:r w:rsidRPr="00EC79DF">
        <w:rPr>
          <w:szCs w:val="24"/>
        </w:rPr>
        <w:t>14. Kitus inžinerinius statinius (tvorą) (Nr. 4400-2072-6709</w:t>
      </w:r>
      <w:r w:rsidR="00BB2A3E" w:rsidRPr="00EC79DF">
        <w:rPr>
          <w:szCs w:val="24"/>
        </w:rPr>
        <w:t xml:space="preserve">, </w:t>
      </w:r>
      <w:r w:rsidR="00963381">
        <w:rPr>
          <w:szCs w:val="24"/>
        </w:rPr>
        <w:t xml:space="preserve">be </w:t>
      </w:r>
      <w:r w:rsidR="00963381" w:rsidRPr="00EC79DF">
        <w:rPr>
          <w:szCs w:val="24"/>
        </w:rPr>
        <w:t>likutinė</w:t>
      </w:r>
      <w:r w:rsidR="00963381">
        <w:rPr>
          <w:szCs w:val="24"/>
        </w:rPr>
        <w:t>s</w:t>
      </w:r>
      <w:r w:rsidR="00963381" w:rsidRPr="00EC79DF">
        <w:rPr>
          <w:szCs w:val="24"/>
        </w:rPr>
        <w:t xml:space="preserve"> vertė</w:t>
      </w:r>
      <w:r w:rsidR="00963381">
        <w:rPr>
          <w:szCs w:val="24"/>
        </w:rPr>
        <w:t>s</w:t>
      </w:r>
      <w:r w:rsidR="004D7BF5" w:rsidRPr="00EC79DF">
        <w:rPr>
          <w:szCs w:val="24"/>
        </w:rPr>
        <w:t>)</w:t>
      </w:r>
      <w:r w:rsidRPr="00EC79DF">
        <w:rPr>
          <w:szCs w:val="24"/>
        </w:rPr>
        <w:t>.</w:t>
      </w:r>
    </w:p>
    <w:p w14:paraId="12167D6E" w14:textId="77777777" w:rsidR="00963381" w:rsidRDefault="00963381" w:rsidP="00107E14">
      <w:pPr>
        <w:tabs>
          <w:tab w:val="left" w:pos="6237"/>
        </w:tabs>
        <w:ind w:firstLine="720"/>
        <w:jc w:val="both"/>
        <w:rPr>
          <w:szCs w:val="24"/>
        </w:rPr>
      </w:pPr>
    </w:p>
    <w:p w14:paraId="5A46D67F" w14:textId="77777777" w:rsidR="00963381" w:rsidRDefault="00963381" w:rsidP="00107E14">
      <w:pPr>
        <w:tabs>
          <w:tab w:val="left" w:pos="6237"/>
        </w:tabs>
        <w:ind w:firstLine="720"/>
        <w:jc w:val="both"/>
      </w:pPr>
    </w:p>
    <w:p w14:paraId="2A2930AE" w14:textId="35D703FF" w:rsidR="004C453D" w:rsidRPr="004C453D" w:rsidRDefault="007635DD" w:rsidP="004C453D">
      <w:r>
        <w:t>G</w:t>
      </w:r>
      <w:r w:rsidR="001E7A82">
        <w:t>eneralini</w:t>
      </w:r>
      <w:r w:rsidR="004C453D">
        <w:t>s</w:t>
      </w:r>
      <w:r w:rsidR="001E7A82">
        <w:t xml:space="preserve"> direktorius </w:t>
      </w:r>
      <w:r>
        <w:tab/>
      </w:r>
      <w:r>
        <w:tab/>
      </w:r>
      <w:r>
        <w:tab/>
      </w:r>
      <w:r>
        <w:tab/>
      </w:r>
      <w:r w:rsidR="4A4164A4">
        <w:t xml:space="preserve">                    </w:t>
      </w:r>
      <w:r w:rsidR="004C453D">
        <w:t xml:space="preserve">Gintaras </w:t>
      </w:r>
      <w:proofErr w:type="spellStart"/>
      <w:r w:rsidR="004C453D">
        <w:t>Makšimas</w:t>
      </w:r>
      <w:proofErr w:type="spellEnd"/>
    </w:p>
    <w:sectPr w:rsidR="004C453D" w:rsidRPr="004C453D">
      <w:pgSz w:w="11906" w:h="16838"/>
      <w:pgMar w:top="1134" w:right="567" w:bottom="1134" w:left="1701" w:header="567" w:footer="386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8F09" w14:textId="77777777" w:rsidR="00D459B8" w:rsidRDefault="00D459B8">
      <w:r>
        <w:separator/>
      </w:r>
    </w:p>
  </w:endnote>
  <w:endnote w:type="continuationSeparator" w:id="0">
    <w:p w14:paraId="2CB22D53" w14:textId="77777777" w:rsidR="00D459B8" w:rsidRDefault="00D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091E" w14:textId="77777777" w:rsidR="00D459B8" w:rsidRDefault="00D459B8">
      <w:r>
        <w:separator/>
      </w:r>
    </w:p>
  </w:footnote>
  <w:footnote w:type="continuationSeparator" w:id="0">
    <w:p w14:paraId="79ECF347" w14:textId="77777777" w:rsidR="00D459B8" w:rsidRDefault="00D4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94C"/>
    <w:multiLevelType w:val="hybridMultilevel"/>
    <w:tmpl w:val="18DADA40"/>
    <w:lvl w:ilvl="0" w:tplc="CBC026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CA00390"/>
    <w:multiLevelType w:val="hybridMultilevel"/>
    <w:tmpl w:val="71FC7036"/>
    <w:lvl w:ilvl="0" w:tplc="FFFFFFFF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2A41FF6"/>
    <w:multiLevelType w:val="hybridMultilevel"/>
    <w:tmpl w:val="608E7BDE"/>
    <w:lvl w:ilvl="0" w:tplc="927E77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E0E4B8D"/>
    <w:multiLevelType w:val="multilevel"/>
    <w:tmpl w:val="6B4CDE30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597552">
    <w:abstractNumId w:val="3"/>
  </w:num>
  <w:num w:numId="2" w16cid:durableId="339770957">
    <w:abstractNumId w:val="0"/>
  </w:num>
  <w:num w:numId="3" w16cid:durableId="369452581">
    <w:abstractNumId w:val="2"/>
  </w:num>
  <w:num w:numId="4" w16cid:durableId="155871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40"/>
    <w:rsid w:val="00004908"/>
    <w:rsid w:val="000157BB"/>
    <w:rsid w:val="00076E70"/>
    <w:rsid w:val="000850E6"/>
    <w:rsid w:val="000B39F0"/>
    <w:rsid w:val="000E70E1"/>
    <w:rsid w:val="00100AF6"/>
    <w:rsid w:val="00107E14"/>
    <w:rsid w:val="0011078C"/>
    <w:rsid w:val="00141D31"/>
    <w:rsid w:val="00183FC1"/>
    <w:rsid w:val="001C24BE"/>
    <w:rsid w:val="001D6AB6"/>
    <w:rsid w:val="001E7A82"/>
    <w:rsid w:val="001F3C20"/>
    <w:rsid w:val="001F4D6C"/>
    <w:rsid w:val="00224D3E"/>
    <w:rsid w:val="0025393A"/>
    <w:rsid w:val="002B3D8A"/>
    <w:rsid w:val="002B7721"/>
    <w:rsid w:val="002F4F51"/>
    <w:rsid w:val="00317E0E"/>
    <w:rsid w:val="00340E8D"/>
    <w:rsid w:val="003B4E3C"/>
    <w:rsid w:val="003C1BD5"/>
    <w:rsid w:val="004030D4"/>
    <w:rsid w:val="00416801"/>
    <w:rsid w:val="00420D43"/>
    <w:rsid w:val="004315FF"/>
    <w:rsid w:val="004658F0"/>
    <w:rsid w:val="004A491B"/>
    <w:rsid w:val="004C20F5"/>
    <w:rsid w:val="004C453D"/>
    <w:rsid w:val="004D08B2"/>
    <w:rsid w:val="004D4996"/>
    <w:rsid w:val="004D7BF5"/>
    <w:rsid w:val="004E4817"/>
    <w:rsid w:val="00526678"/>
    <w:rsid w:val="00541962"/>
    <w:rsid w:val="0057414E"/>
    <w:rsid w:val="005C4EB6"/>
    <w:rsid w:val="005D2DA3"/>
    <w:rsid w:val="00613CDF"/>
    <w:rsid w:val="006834B1"/>
    <w:rsid w:val="00685DB0"/>
    <w:rsid w:val="006A2CBE"/>
    <w:rsid w:val="006B30B9"/>
    <w:rsid w:val="006B4EB2"/>
    <w:rsid w:val="006D3AC5"/>
    <w:rsid w:val="006D7E4B"/>
    <w:rsid w:val="006F659A"/>
    <w:rsid w:val="007307DC"/>
    <w:rsid w:val="0075110F"/>
    <w:rsid w:val="007635DD"/>
    <w:rsid w:val="007C3CF9"/>
    <w:rsid w:val="007E2E40"/>
    <w:rsid w:val="00834F3B"/>
    <w:rsid w:val="008655C4"/>
    <w:rsid w:val="00891F91"/>
    <w:rsid w:val="008A16E9"/>
    <w:rsid w:val="008A7F50"/>
    <w:rsid w:val="008E7688"/>
    <w:rsid w:val="00901029"/>
    <w:rsid w:val="00963381"/>
    <w:rsid w:val="009753B1"/>
    <w:rsid w:val="00976512"/>
    <w:rsid w:val="009970D9"/>
    <w:rsid w:val="009A7A42"/>
    <w:rsid w:val="009F1705"/>
    <w:rsid w:val="00A36B7E"/>
    <w:rsid w:val="00A60E52"/>
    <w:rsid w:val="00A7694B"/>
    <w:rsid w:val="00A9385D"/>
    <w:rsid w:val="00AA502A"/>
    <w:rsid w:val="00AB34C9"/>
    <w:rsid w:val="00AB41E5"/>
    <w:rsid w:val="00B30C9E"/>
    <w:rsid w:val="00B322B2"/>
    <w:rsid w:val="00B70D78"/>
    <w:rsid w:val="00B71019"/>
    <w:rsid w:val="00BB2A3E"/>
    <w:rsid w:val="00BB5222"/>
    <w:rsid w:val="00BB5778"/>
    <w:rsid w:val="00BF695B"/>
    <w:rsid w:val="00C41AC0"/>
    <w:rsid w:val="00C85C7E"/>
    <w:rsid w:val="00C91821"/>
    <w:rsid w:val="00CD7CD1"/>
    <w:rsid w:val="00D05567"/>
    <w:rsid w:val="00D24941"/>
    <w:rsid w:val="00D3237C"/>
    <w:rsid w:val="00D459B8"/>
    <w:rsid w:val="00D91898"/>
    <w:rsid w:val="00E276A7"/>
    <w:rsid w:val="00E75B12"/>
    <w:rsid w:val="00EC45F3"/>
    <w:rsid w:val="00EC79DF"/>
    <w:rsid w:val="00EF3354"/>
    <w:rsid w:val="00F2110C"/>
    <w:rsid w:val="00F25D52"/>
    <w:rsid w:val="00F36965"/>
    <w:rsid w:val="00F40157"/>
    <w:rsid w:val="00F765F6"/>
    <w:rsid w:val="06C5C23A"/>
    <w:rsid w:val="0DA33483"/>
    <w:rsid w:val="30834CA2"/>
    <w:rsid w:val="36958302"/>
    <w:rsid w:val="4A4164A4"/>
    <w:rsid w:val="740FBC72"/>
    <w:rsid w:val="79E6C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6BAE"/>
  <w15:docId w15:val="{C250AC30-B05B-4491-ABE5-617C4C5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3CDF"/>
    <w:rPr>
      <w:rFonts w:ascii="Times New Roman" w:eastAsia="Times New Roman" w:hAnsi="Times New Roman" w:cs="Times New Roman"/>
      <w:szCs w:val="20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5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Heading1Char">
    <w:name w:val="Heading 1 Char"/>
    <w:qFormat/>
    <w:rPr>
      <w:rFonts w:ascii="Times New Roman" w:hAnsi="Times New Roman" w:cs="Times New Roman"/>
      <w:b/>
      <w:sz w:val="20"/>
    </w:rPr>
  </w:style>
  <w:style w:type="character" w:customStyle="1" w:styleId="HeaderChar">
    <w:name w:val="Header Char"/>
    <w:qFormat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qFormat/>
    <w:rPr>
      <w:rFonts w:ascii="Tahoma" w:hAnsi="Tahoma" w:cs="Tahoma"/>
      <w:sz w:val="16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customStyle="1" w:styleId="PavadinimasDiagrama">
    <w:name w:val="Pavadinimas Diagrama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prastasis"/>
    <w:next w:val="prastasis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8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prastasis"/>
    <w:qFormat/>
    <w:pPr>
      <w:ind w:left="720"/>
    </w:pPr>
  </w:style>
  <w:style w:type="paragraph" w:customStyle="1" w:styleId="BalloonText1">
    <w:name w:val="Balloon Text1"/>
    <w:basedOn w:val="prastasis"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raopastraipa">
    <w:name w:val="List Paragraph"/>
    <w:basedOn w:val="prastasis"/>
    <w:uiPriority w:val="34"/>
    <w:qFormat/>
    <w:rsid w:val="00F25D52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53D"/>
    <w:rPr>
      <w:rFonts w:asciiTheme="majorHAnsi" w:eastAsiaTheme="majorEastAsia" w:hAnsiTheme="majorHAnsi" w:cstheme="majorBidi"/>
      <w:color w:val="1F3763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a6d3b765bf011774442a5727e504c8a7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362d710c3b0a978961c8a41f1d298c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5241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0336D6C7-1AE8-4F61-91BE-27FC47FB2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F873A-10B4-47E2-88BF-912254D9A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4BE17-BAF9-4325-A04F-D0F943756D6E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251658240</dc:title>
  <dc:creator>m10198</dc:creator>
  <cp:lastModifiedBy>BUTKIENĖ, Dalia | Turto Bankas</cp:lastModifiedBy>
  <cp:revision>2</cp:revision>
  <cp:lastPrinted>2017-06-28T10:49:00Z</cp:lastPrinted>
  <dcterms:created xsi:type="dcterms:W3CDTF">2026-04-14T07:11:00Z</dcterms:created>
  <dcterms:modified xsi:type="dcterms:W3CDTF">2026-04-14T07:11:00Z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