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D41AF" w14:textId="77777777" w:rsidR="005F08B9" w:rsidRDefault="005F08B9" w:rsidP="008C7C9A">
      <w:pPr>
        <w:rPr>
          <w:b/>
          <w:szCs w:val="20"/>
        </w:rPr>
      </w:pPr>
    </w:p>
    <w:p w14:paraId="3A9DCE03" w14:textId="77777777" w:rsidR="005F08B9" w:rsidRDefault="005F08B9" w:rsidP="008C7C9A">
      <w:pPr>
        <w:rPr>
          <w:b/>
          <w:szCs w:val="20"/>
        </w:rPr>
      </w:pPr>
    </w:p>
    <w:p w14:paraId="52F5113F" w14:textId="77777777" w:rsidR="005F08B9" w:rsidRPr="00494432" w:rsidRDefault="005F08B9" w:rsidP="00E86810">
      <w:pPr>
        <w:jc w:val="center"/>
        <w:rPr>
          <w:b/>
          <w:sz w:val="36"/>
          <w:szCs w:val="36"/>
        </w:rPr>
      </w:pPr>
      <w:r>
        <w:rPr>
          <w:b/>
          <w:spacing w:val="-2"/>
          <w:sz w:val="36"/>
          <w:szCs w:val="36"/>
        </w:rPr>
        <w:t>Korupcijos pasireiškimo tikimybės nustatymo išvada</w:t>
      </w:r>
    </w:p>
    <w:p w14:paraId="1EA374A8" w14:textId="77777777" w:rsidR="005F08B9" w:rsidRDefault="005F08B9" w:rsidP="00E86810">
      <w:pPr>
        <w:widowControl w:val="0"/>
        <w:suppressAutoHyphens/>
        <w:jc w:val="center"/>
        <w:textAlignment w:val="baseline"/>
      </w:pPr>
    </w:p>
    <w:p w14:paraId="7FBF118A" w14:textId="77777777" w:rsidR="005F08B9" w:rsidRDefault="005F08B9" w:rsidP="00E86810">
      <w:pPr>
        <w:widowControl w:val="0"/>
        <w:suppressAutoHyphens/>
        <w:jc w:val="center"/>
        <w:textAlignment w:val="baseline"/>
      </w:pPr>
      <w:r>
        <w:t>_</w:t>
      </w:r>
      <w:r w:rsidRPr="00B74862">
        <w:rPr>
          <w:u w:val="single"/>
        </w:rPr>
        <w:t>2024-</w:t>
      </w:r>
      <w:r>
        <w:rPr>
          <w:u w:val="single"/>
        </w:rPr>
        <w:t xml:space="preserve">11- </w:t>
      </w:r>
      <w:r>
        <w:t>_Nr. __________</w:t>
      </w:r>
    </w:p>
    <w:p w14:paraId="6010EA65" w14:textId="77777777" w:rsidR="005F08B9" w:rsidRPr="0058248C" w:rsidRDefault="005F08B9" w:rsidP="00E86810">
      <w:pPr>
        <w:widowControl w:val="0"/>
        <w:suppressAutoHyphens/>
        <w:textAlignment w:val="baseline"/>
        <w:rPr>
          <w:sz w:val="20"/>
        </w:rPr>
      </w:pPr>
      <w:r>
        <w:rPr>
          <w:sz w:val="20"/>
        </w:rPr>
        <w:t xml:space="preserve">                                                                                               </w:t>
      </w:r>
      <w:r w:rsidRPr="0058248C">
        <w:rPr>
          <w:sz w:val="20"/>
        </w:rPr>
        <w:t>(data)</w:t>
      </w:r>
    </w:p>
    <w:p w14:paraId="03FD09EC" w14:textId="77777777" w:rsidR="005F08B9" w:rsidRDefault="005F08B9" w:rsidP="00E86810">
      <w:pPr>
        <w:widowControl w:val="0"/>
        <w:suppressAutoHyphens/>
        <w:jc w:val="center"/>
        <w:textAlignment w:val="baseline"/>
      </w:pPr>
      <w:r>
        <w:t>___</w:t>
      </w:r>
      <w:r>
        <w:rPr>
          <w:u w:val="single"/>
        </w:rPr>
        <w:t>Vilnius</w:t>
      </w:r>
      <w:r>
        <w:t>____</w:t>
      </w:r>
    </w:p>
    <w:p w14:paraId="1D72656C" w14:textId="77777777" w:rsidR="005F08B9" w:rsidRPr="0058248C" w:rsidRDefault="005F08B9" w:rsidP="00E86810">
      <w:pPr>
        <w:widowControl w:val="0"/>
        <w:suppressAutoHyphens/>
        <w:jc w:val="center"/>
        <w:textAlignment w:val="baseline"/>
        <w:rPr>
          <w:sz w:val="20"/>
        </w:rPr>
      </w:pPr>
      <w:r w:rsidRPr="0058248C">
        <w:rPr>
          <w:sz w:val="20"/>
        </w:rPr>
        <w:t>(Vieta)</w:t>
      </w:r>
    </w:p>
    <w:p w14:paraId="48A9AD09" w14:textId="77777777" w:rsidR="005F08B9" w:rsidRPr="00C83814" w:rsidRDefault="005F08B9" w:rsidP="008C7C9A">
      <w:pPr>
        <w:rPr>
          <w:b/>
          <w:szCs w:val="20"/>
        </w:rPr>
      </w:pPr>
    </w:p>
    <w:tbl>
      <w:tblPr>
        <w:tblStyle w:val="Lentelstinklelis1"/>
        <w:tblW w:w="0" w:type="auto"/>
        <w:tblInd w:w="-431" w:type="dxa"/>
        <w:tblLayout w:type="fixed"/>
        <w:tblLook w:val="04A0" w:firstRow="1" w:lastRow="0" w:firstColumn="1" w:lastColumn="0" w:noHBand="0" w:noVBand="1"/>
      </w:tblPr>
      <w:tblGrid>
        <w:gridCol w:w="4962"/>
        <w:gridCol w:w="5245"/>
      </w:tblGrid>
      <w:tr w:rsidR="005F08B9" w:rsidRPr="004A3362" w14:paraId="4F507B27" w14:textId="77777777" w:rsidTr="00FA7102">
        <w:trPr>
          <w:trHeight w:val="601"/>
        </w:trPr>
        <w:tc>
          <w:tcPr>
            <w:tcW w:w="4962" w:type="dxa"/>
          </w:tcPr>
          <w:p w14:paraId="30601314" w14:textId="77777777" w:rsidR="005F08B9" w:rsidRPr="00494432" w:rsidRDefault="005F08B9" w:rsidP="006F0F38">
            <w:pPr>
              <w:jc w:val="both"/>
              <w:rPr>
                <w:b/>
              </w:rPr>
            </w:pPr>
            <w:r>
              <w:rPr>
                <w:b/>
              </w:rPr>
              <w:t xml:space="preserve">1. </w:t>
            </w:r>
            <w:r w:rsidRPr="00494432">
              <w:rPr>
                <w:b/>
              </w:rPr>
              <w:t xml:space="preserve">Viešojo sektoriaus subjektas, kuriame atliktas KPT nustatymas </w:t>
            </w:r>
            <w:r w:rsidRPr="00EF2B0C">
              <w:t>(</w:t>
            </w:r>
            <w:r>
              <w:t>veiklos sritis (-</w:t>
            </w:r>
            <w:proofErr w:type="spellStart"/>
            <w:r>
              <w:t>ys</w:t>
            </w:r>
            <w:proofErr w:type="spellEnd"/>
            <w:r>
              <w:t xml:space="preserve">), </w:t>
            </w:r>
            <w:r w:rsidRPr="00625A53">
              <w:t>kurioje (-</w:t>
            </w:r>
            <w:proofErr w:type="spellStart"/>
            <w:r w:rsidRPr="00625A53">
              <w:t>iose</w:t>
            </w:r>
            <w:proofErr w:type="spellEnd"/>
            <w:r w:rsidRPr="00625A53">
              <w:t>) buvo atliekamas korupcijos pasireiškimo tikimybės nustatymas</w:t>
            </w:r>
            <w:r>
              <w:t>, jos (-ų) trumpas aprašymas).</w:t>
            </w:r>
          </w:p>
        </w:tc>
        <w:tc>
          <w:tcPr>
            <w:tcW w:w="5245" w:type="dxa"/>
          </w:tcPr>
          <w:p w14:paraId="70C8B3D0" w14:textId="77777777" w:rsidR="005F08B9" w:rsidRDefault="005F08B9" w:rsidP="008176C8">
            <w:pPr>
              <w:jc w:val="both"/>
              <w:rPr>
                <w:b/>
                <w:bCs/>
              </w:rPr>
            </w:pPr>
            <w:r w:rsidRPr="00506EB0">
              <w:rPr>
                <w:color w:val="000000" w:themeColor="text1"/>
              </w:rPr>
              <w:t>Korupcijos pasireiškimo tikimybės (toliau – KPT) nustatymas buvo</w:t>
            </w:r>
            <w:r>
              <w:rPr>
                <w:color w:val="000000" w:themeColor="text1"/>
              </w:rPr>
              <w:t xml:space="preserve"> </w:t>
            </w:r>
            <w:r w:rsidRPr="00506EB0">
              <w:rPr>
                <w:color w:val="000000" w:themeColor="text1"/>
              </w:rPr>
              <w:t>atliktas</w:t>
            </w:r>
            <w:r>
              <w:rPr>
                <w:color w:val="000000" w:themeColor="text1"/>
              </w:rPr>
              <w:t xml:space="preserve"> </w:t>
            </w:r>
            <w:r w:rsidRPr="00E04CF7">
              <w:t xml:space="preserve">Valstybės įmonės Turto banko </w:t>
            </w:r>
            <w:r>
              <w:t xml:space="preserve">(toliau – Turto bankas) </w:t>
            </w:r>
            <w:r w:rsidRPr="00E04CF7">
              <w:t xml:space="preserve">veiklos srityje – </w:t>
            </w:r>
            <w:r w:rsidRPr="001D0369">
              <w:rPr>
                <w:b/>
                <w:bCs/>
              </w:rPr>
              <w:t>viešųjų pirkimų metu sudarytų sutarčių vykdymo priežiūra (toliau – Analizuojama veiklos sritis)</w:t>
            </w:r>
          </w:p>
          <w:p w14:paraId="5EA732B0" w14:textId="77777777" w:rsidR="005F08B9" w:rsidRPr="00836F76" w:rsidRDefault="005F08B9" w:rsidP="00924375">
            <w:pPr>
              <w:jc w:val="both"/>
              <w:rPr>
                <w:color w:val="FF0000"/>
              </w:rPr>
            </w:pPr>
          </w:p>
        </w:tc>
      </w:tr>
      <w:tr w:rsidR="005F08B9" w:rsidRPr="004A3362" w14:paraId="5181504A" w14:textId="77777777" w:rsidTr="00FA7102">
        <w:tc>
          <w:tcPr>
            <w:tcW w:w="4962" w:type="dxa"/>
          </w:tcPr>
          <w:p w14:paraId="5D91729D" w14:textId="77777777" w:rsidR="005F08B9" w:rsidRPr="00A0489C" w:rsidRDefault="005F08B9" w:rsidP="00870FDD">
            <w:pPr>
              <w:jc w:val="both"/>
              <w:rPr>
                <w:b/>
              </w:rPr>
            </w:pPr>
            <w:r>
              <w:rPr>
                <w:b/>
              </w:rPr>
              <w:t xml:space="preserve">2. </w:t>
            </w:r>
            <w:r w:rsidRPr="00494432">
              <w:rPr>
                <w:b/>
              </w:rPr>
              <w:t>Asmenys (subjektai), atlikę viešojo sektoriaus subjekto KPT nustatymą</w:t>
            </w:r>
          </w:p>
        </w:tc>
        <w:tc>
          <w:tcPr>
            <w:tcW w:w="5245" w:type="dxa"/>
          </w:tcPr>
          <w:p w14:paraId="2FE6DD02" w14:textId="77777777" w:rsidR="005F08B9" w:rsidRDefault="005F08B9" w:rsidP="004E6BFA">
            <w:pPr>
              <w:rPr>
                <w:color w:val="000000" w:themeColor="text1"/>
              </w:rPr>
            </w:pPr>
            <w:r w:rsidRPr="001679E6">
              <w:rPr>
                <w:color w:val="000000" w:themeColor="text1"/>
              </w:rPr>
              <w:t xml:space="preserve">Turto banko Saugos ir prevencijos skyriaus vadovas Darius </w:t>
            </w:r>
            <w:proofErr w:type="spellStart"/>
            <w:r w:rsidRPr="001679E6">
              <w:rPr>
                <w:color w:val="000000" w:themeColor="text1"/>
              </w:rPr>
              <w:t>Zasas</w:t>
            </w:r>
            <w:proofErr w:type="spellEnd"/>
          </w:p>
          <w:p w14:paraId="46B965C0" w14:textId="77777777" w:rsidR="005F08B9" w:rsidRPr="001679E6" w:rsidRDefault="005F08B9" w:rsidP="004E6BFA">
            <w:pPr>
              <w:rPr>
                <w:color w:val="000000" w:themeColor="text1"/>
              </w:rPr>
            </w:pPr>
          </w:p>
        </w:tc>
      </w:tr>
      <w:tr w:rsidR="005F08B9" w:rsidRPr="004A3362" w14:paraId="454B692C" w14:textId="77777777" w:rsidTr="00FA7102">
        <w:trPr>
          <w:trHeight w:val="1225"/>
        </w:trPr>
        <w:tc>
          <w:tcPr>
            <w:tcW w:w="4962" w:type="dxa"/>
          </w:tcPr>
          <w:p w14:paraId="68F2030B" w14:textId="77777777" w:rsidR="005F08B9" w:rsidRPr="001203ED" w:rsidRDefault="005F08B9" w:rsidP="00870FDD">
            <w:pPr>
              <w:jc w:val="both"/>
              <w:rPr>
                <w:b/>
              </w:rPr>
            </w:pPr>
            <w:r>
              <w:rPr>
                <w:b/>
                <w:color w:val="000000"/>
              </w:rPr>
              <w:t xml:space="preserve">3. </w:t>
            </w:r>
            <w:r w:rsidRPr="001203ED">
              <w:rPr>
                <w:b/>
                <w:color w:val="000000"/>
              </w:rPr>
              <w:t>Korupcijos pasireiškimo tikimybės nustatymo pradžios ir pabaigos laikas.</w:t>
            </w:r>
          </w:p>
          <w:p w14:paraId="276BA6DF" w14:textId="77777777" w:rsidR="005F08B9" w:rsidRPr="00494432" w:rsidRDefault="005F08B9" w:rsidP="00870FDD">
            <w:pPr>
              <w:jc w:val="both"/>
              <w:rPr>
                <w:b/>
              </w:rPr>
            </w:pPr>
            <w:r w:rsidRPr="00494432">
              <w:rPr>
                <w:b/>
              </w:rPr>
              <w:t>Analizuotas laikotarpis</w:t>
            </w:r>
            <w:r>
              <w:rPr>
                <w:b/>
              </w:rPr>
              <w:t>.</w:t>
            </w:r>
          </w:p>
        </w:tc>
        <w:tc>
          <w:tcPr>
            <w:tcW w:w="5245" w:type="dxa"/>
          </w:tcPr>
          <w:p w14:paraId="67ED85BC" w14:textId="77777777" w:rsidR="005F08B9" w:rsidRPr="00E04CF7" w:rsidRDefault="005F08B9" w:rsidP="00C1658F">
            <w:pPr>
              <w:widowControl w:val="0"/>
              <w:suppressAutoHyphens/>
              <w:jc w:val="both"/>
              <w:textAlignment w:val="baseline"/>
            </w:pPr>
            <w:r>
              <w:t xml:space="preserve">KPT nustatymo </w:t>
            </w:r>
            <w:r w:rsidRPr="00E04CF7">
              <w:t>buvo analizuota aktuali (202</w:t>
            </w:r>
            <w:r>
              <w:t>4</w:t>
            </w:r>
            <w:r w:rsidRPr="00E04CF7">
              <w:t xml:space="preserve"> </w:t>
            </w:r>
            <w:r>
              <w:t>spalio</w:t>
            </w:r>
            <w:r w:rsidRPr="00E04CF7">
              <w:t xml:space="preserve"> </w:t>
            </w:r>
            <w:r>
              <w:t>10</w:t>
            </w:r>
            <w:r w:rsidRPr="00E04CF7">
              <w:t xml:space="preserve"> d. ) situacija bei sprendimų priėmimai nuo  202</w:t>
            </w:r>
            <w:r>
              <w:t>3</w:t>
            </w:r>
            <w:r w:rsidRPr="00E04CF7">
              <w:t xml:space="preserve"> m. sausio mėn. 1 d. iki  202</w:t>
            </w:r>
            <w:r>
              <w:t>4</w:t>
            </w:r>
            <w:r w:rsidRPr="00E04CF7">
              <w:t xml:space="preserve"> m. </w:t>
            </w:r>
            <w:r>
              <w:t>spalio</w:t>
            </w:r>
            <w:r w:rsidRPr="00E04CF7">
              <w:t xml:space="preserve"> </w:t>
            </w:r>
            <w:r>
              <w:t>1</w:t>
            </w:r>
            <w:r w:rsidRPr="00E04CF7">
              <w:t>0</w:t>
            </w:r>
            <w:r>
              <w:t xml:space="preserve"> d.</w:t>
            </w:r>
            <w:r w:rsidRPr="00E04CF7">
              <w:t>.</w:t>
            </w:r>
          </w:p>
          <w:p w14:paraId="1E307D80" w14:textId="77777777" w:rsidR="005F08B9" w:rsidRPr="00836F76" w:rsidRDefault="005F08B9" w:rsidP="004E6BFA">
            <w:pPr>
              <w:rPr>
                <w:color w:val="FF0000"/>
              </w:rPr>
            </w:pPr>
          </w:p>
        </w:tc>
      </w:tr>
      <w:tr w:rsidR="005F08B9" w:rsidRPr="004A3362" w14:paraId="2A3E75EC" w14:textId="77777777" w:rsidTr="00FA7102">
        <w:trPr>
          <w:trHeight w:val="313"/>
        </w:trPr>
        <w:tc>
          <w:tcPr>
            <w:tcW w:w="10207" w:type="dxa"/>
            <w:gridSpan w:val="2"/>
          </w:tcPr>
          <w:p w14:paraId="790E965F" w14:textId="77777777" w:rsidR="005F08B9" w:rsidRPr="00F309B3" w:rsidRDefault="005F08B9" w:rsidP="00870FDD">
            <w:pPr>
              <w:rPr>
                <w:b/>
                <w:sz w:val="28"/>
                <w:szCs w:val="28"/>
              </w:rPr>
            </w:pPr>
            <w:r>
              <w:rPr>
                <w:b/>
                <w:sz w:val="28"/>
                <w:szCs w:val="28"/>
              </w:rPr>
              <w:t xml:space="preserve">4. </w:t>
            </w:r>
            <w:r w:rsidRPr="00EF2B0C">
              <w:rPr>
                <w:b/>
                <w:sz w:val="28"/>
                <w:szCs w:val="28"/>
              </w:rPr>
              <w:t>Nustatyt</w:t>
            </w:r>
            <w:r>
              <w:rPr>
                <w:b/>
                <w:sz w:val="28"/>
                <w:szCs w:val="28"/>
              </w:rPr>
              <w:t>os</w:t>
            </w:r>
            <w:r w:rsidRPr="00EF2B0C">
              <w:rPr>
                <w:b/>
                <w:sz w:val="28"/>
                <w:szCs w:val="28"/>
              </w:rPr>
              <w:t xml:space="preserve"> rizik</w:t>
            </w:r>
            <w:r>
              <w:rPr>
                <w:b/>
                <w:sz w:val="28"/>
                <w:szCs w:val="28"/>
              </w:rPr>
              <w:t>os, jų lygiai, suskirstymas pagal svarbą</w:t>
            </w:r>
          </w:p>
          <w:p w14:paraId="3FABAF1A" w14:textId="77777777" w:rsidR="005F08B9" w:rsidRDefault="005F08B9" w:rsidP="00B45433">
            <w:pPr>
              <w:rPr>
                <w:b/>
              </w:rPr>
            </w:pPr>
          </w:p>
          <w:p w14:paraId="38694433" w14:textId="77777777" w:rsidR="005F08B9" w:rsidRDefault="005F08B9" w:rsidP="00B45433">
            <w:pPr>
              <w:rPr>
                <w:b/>
              </w:rPr>
            </w:pPr>
          </w:p>
          <w:p w14:paraId="396A2481" w14:textId="77777777" w:rsidR="005F08B9" w:rsidRDefault="005F08B9" w:rsidP="00B45433">
            <w:pPr>
              <w:rPr>
                <w:b/>
              </w:rPr>
            </w:pPr>
          </w:p>
          <w:p w14:paraId="380749BF" w14:textId="77777777" w:rsidR="005F08B9" w:rsidRPr="00630B95" w:rsidRDefault="005F08B9" w:rsidP="00B45433">
            <w:pPr>
              <w:rPr>
                <w:b/>
              </w:rPr>
            </w:pPr>
          </w:p>
          <w:p w14:paraId="0AA4F8E9" w14:textId="77777777" w:rsidR="005F08B9" w:rsidRPr="00630B95" w:rsidRDefault="005F08B9" w:rsidP="00B45433">
            <w:pPr>
              <w:rPr>
                <w:b/>
              </w:rPr>
            </w:pPr>
          </w:p>
          <w:tbl>
            <w:tblPr>
              <w:tblStyle w:val="Lentelstinklelis"/>
              <w:tblpPr w:leftFromText="180" w:rightFromText="180" w:vertAnchor="page" w:horzAnchor="margin" w:tblpXSpec="center" w:tblpY="965"/>
              <w:tblOverlap w:val="never"/>
              <w:tblW w:w="7650" w:type="dxa"/>
              <w:tblLayout w:type="fixed"/>
              <w:tblLook w:val="0420" w:firstRow="1" w:lastRow="0" w:firstColumn="0" w:lastColumn="0" w:noHBand="0" w:noVBand="1"/>
            </w:tblPr>
            <w:tblGrid>
              <w:gridCol w:w="1215"/>
              <w:gridCol w:w="1702"/>
              <w:gridCol w:w="1119"/>
              <w:gridCol w:w="708"/>
              <w:gridCol w:w="961"/>
              <w:gridCol w:w="934"/>
              <w:gridCol w:w="1011"/>
            </w:tblGrid>
            <w:tr w:rsidR="005F08B9" w:rsidRPr="00630B95" w14:paraId="0D826125" w14:textId="77777777" w:rsidTr="009F12B3">
              <w:trPr>
                <w:trHeight w:val="540"/>
              </w:trPr>
              <w:tc>
                <w:tcPr>
                  <w:tcW w:w="1188" w:type="dxa"/>
                  <w:vMerge w:val="restart"/>
                  <w:shd w:val="clear" w:color="auto" w:fill="D9D9D9" w:themeFill="background1" w:themeFillShade="D9"/>
                  <w:textDirection w:val="btLr"/>
                </w:tcPr>
                <w:p w14:paraId="75EDB1EC" w14:textId="77777777" w:rsidR="005F08B9" w:rsidRPr="00630B95" w:rsidRDefault="005F08B9" w:rsidP="00B45433">
                  <w:pPr>
                    <w:spacing w:line="360" w:lineRule="auto"/>
                    <w:ind w:left="113" w:right="113"/>
                    <w:contextualSpacing/>
                    <w:jc w:val="center"/>
                    <w:rPr>
                      <w:bCs/>
                      <w:sz w:val="56"/>
                      <w:szCs w:val="56"/>
                    </w:rPr>
                  </w:pPr>
                  <w:r w:rsidRPr="00630B95">
                    <w:rPr>
                      <w:bCs/>
                      <w:sz w:val="56"/>
                      <w:szCs w:val="56"/>
                    </w:rPr>
                    <w:lastRenderedPageBreak/>
                    <w:t>POVEIKIS</w:t>
                  </w:r>
                </w:p>
              </w:tc>
              <w:tc>
                <w:tcPr>
                  <w:tcW w:w="1736" w:type="dxa"/>
                  <w:vAlign w:val="center"/>
                </w:tcPr>
                <w:p w14:paraId="3ACF9C2D" w14:textId="77777777" w:rsidR="005F08B9" w:rsidRPr="00630B95" w:rsidRDefault="005F08B9" w:rsidP="00B45433">
                  <w:pPr>
                    <w:spacing w:line="360" w:lineRule="auto"/>
                    <w:contextualSpacing/>
                    <w:jc w:val="center"/>
                    <w:rPr>
                      <w:bCs/>
                    </w:rPr>
                  </w:pPr>
                  <w:r w:rsidRPr="00630B95">
                    <w:rPr>
                      <w:b/>
                      <w:bCs/>
                    </w:rPr>
                    <w:t>Katastrofinis</w:t>
                  </w:r>
                </w:p>
              </w:tc>
              <w:tc>
                <w:tcPr>
                  <w:tcW w:w="1182" w:type="dxa"/>
                  <w:shd w:val="clear" w:color="auto" w:fill="92D050"/>
                  <w:vAlign w:val="center"/>
                </w:tcPr>
                <w:p w14:paraId="49A7447C" w14:textId="77777777" w:rsidR="005F08B9" w:rsidRPr="00630B95" w:rsidRDefault="005F08B9" w:rsidP="00B45433">
                  <w:pPr>
                    <w:spacing w:line="360" w:lineRule="auto"/>
                    <w:contextualSpacing/>
                    <w:jc w:val="center"/>
                    <w:rPr>
                      <w:bCs/>
                    </w:rPr>
                  </w:pPr>
                  <w:r w:rsidRPr="00630B95">
                    <w:rPr>
                      <w:bCs/>
                    </w:rPr>
                    <w:t>5</w:t>
                  </w:r>
                </w:p>
              </w:tc>
              <w:tc>
                <w:tcPr>
                  <w:tcW w:w="709" w:type="dxa"/>
                  <w:shd w:val="clear" w:color="auto" w:fill="FFFF00"/>
                  <w:vAlign w:val="center"/>
                </w:tcPr>
                <w:p w14:paraId="30FB3698" w14:textId="77777777" w:rsidR="005F08B9" w:rsidRPr="00630B95" w:rsidRDefault="005F08B9" w:rsidP="00B45433">
                  <w:pPr>
                    <w:spacing w:line="360" w:lineRule="auto"/>
                    <w:contextualSpacing/>
                    <w:jc w:val="center"/>
                    <w:rPr>
                      <w:bCs/>
                    </w:rPr>
                  </w:pPr>
                  <w:r w:rsidRPr="00630B95">
                    <w:rPr>
                      <w:bCs/>
                    </w:rPr>
                    <w:t>10</w:t>
                  </w:r>
                </w:p>
              </w:tc>
              <w:tc>
                <w:tcPr>
                  <w:tcW w:w="839" w:type="dxa"/>
                  <w:shd w:val="clear" w:color="auto" w:fill="FFFF00"/>
                  <w:vAlign w:val="center"/>
                </w:tcPr>
                <w:p w14:paraId="306A2E20" w14:textId="77777777" w:rsidR="005F08B9" w:rsidRPr="00630B95" w:rsidRDefault="005F08B9" w:rsidP="00B45433">
                  <w:pPr>
                    <w:spacing w:line="360" w:lineRule="auto"/>
                    <w:contextualSpacing/>
                    <w:jc w:val="center"/>
                    <w:rPr>
                      <w:bCs/>
                    </w:rPr>
                  </w:pPr>
                  <w:r w:rsidRPr="00630B95">
                    <w:rPr>
                      <w:bCs/>
                    </w:rPr>
                    <w:t>15</w:t>
                  </w:r>
                </w:p>
              </w:tc>
              <w:tc>
                <w:tcPr>
                  <w:tcW w:w="950" w:type="dxa"/>
                  <w:shd w:val="clear" w:color="auto" w:fill="FF0000"/>
                  <w:vAlign w:val="center"/>
                </w:tcPr>
                <w:p w14:paraId="74785159" w14:textId="77777777" w:rsidR="005F08B9" w:rsidRPr="00630B95" w:rsidRDefault="005F08B9" w:rsidP="00B45433">
                  <w:pPr>
                    <w:spacing w:line="360" w:lineRule="auto"/>
                    <w:contextualSpacing/>
                    <w:jc w:val="center"/>
                    <w:rPr>
                      <w:bCs/>
                    </w:rPr>
                  </w:pPr>
                  <w:r w:rsidRPr="00630B95">
                    <w:rPr>
                      <w:bCs/>
                    </w:rPr>
                    <w:t>20</w:t>
                  </w:r>
                </w:p>
              </w:tc>
              <w:tc>
                <w:tcPr>
                  <w:tcW w:w="1046" w:type="dxa"/>
                  <w:shd w:val="clear" w:color="auto" w:fill="FF0000"/>
                  <w:vAlign w:val="center"/>
                </w:tcPr>
                <w:p w14:paraId="46D5A75C" w14:textId="77777777" w:rsidR="005F08B9" w:rsidRPr="00E31192" w:rsidRDefault="005F08B9" w:rsidP="00E31192">
                  <w:pPr>
                    <w:spacing w:line="360" w:lineRule="auto"/>
                    <w:contextualSpacing/>
                    <w:jc w:val="center"/>
                    <w:rPr>
                      <w:bCs/>
                    </w:rPr>
                  </w:pPr>
                  <w:r w:rsidRPr="00630B95">
                    <w:rPr>
                      <w:bCs/>
                    </w:rPr>
                    <w:t>25</w:t>
                  </w:r>
                </w:p>
              </w:tc>
            </w:tr>
            <w:tr w:rsidR="005F08B9" w:rsidRPr="00630B95" w14:paraId="2CC3B99E" w14:textId="77777777" w:rsidTr="009F12B3">
              <w:trPr>
                <w:trHeight w:val="540"/>
              </w:trPr>
              <w:tc>
                <w:tcPr>
                  <w:tcW w:w="1188" w:type="dxa"/>
                  <w:vMerge/>
                  <w:shd w:val="clear" w:color="auto" w:fill="D9D9D9" w:themeFill="background1" w:themeFillShade="D9"/>
                </w:tcPr>
                <w:p w14:paraId="5DD5916C" w14:textId="77777777" w:rsidR="005F08B9" w:rsidRPr="00630B95" w:rsidRDefault="005F08B9" w:rsidP="00B45433">
                  <w:pPr>
                    <w:spacing w:line="360" w:lineRule="auto"/>
                    <w:contextualSpacing/>
                    <w:jc w:val="both"/>
                    <w:rPr>
                      <w:bCs/>
                    </w:rPr>
                  </w:pPr>
                </w:p>
              </w:tc>
              <w:tc>
                <w:tcPr>
                  <w:tcW w:w="1736" w:type="dxa"/>
                  <w:vAlign w:val="center"/>
                </w:tcPr>
                <w:p w14:paraId="6538B2ED" w14:textId="77777777" w:rsidR="005F08B9" w:rsidRPr="00630B95" w:rsidRDefault="005F08B9" w:rsidP="00B45433">
                  <w:pPr>
                    <w:spacing w:line="360" w:lineRule="auto"/>
                    <w:contextualSpacing/>
                    <w:jc w:val="center"/>
                    <w:rPr>
                      <w:bCs/>
                    </w:rPr>
                  </w:pPr>
                  <w:r w:rsidRPr="00630B95">
                    <w:rPr>
                      <w:b/>
                      <w:bCs/>
                    </w:rPr>
                    <w:t>Kritinis</w:t>
                  </w:r>
                </w:p>
              </w:tc>
              <w:tc>
                <w:tcPr>
                  <w:tcW w:w="1182" w:type="dxa"/>
                  <w:shd w:val="clear" w:color="auto" w:fill="92D050"/>
                  <w:vAlign w:val="center"/>
                </w:tcPr>
                <w:p w14:paraId="4B350E01" w14:textId="77777777" w:rsidR="005F08B9" w:rsidRPr="00630B95" w:rsidRDefault="005F08B9" w:rsidP="00B45433">
                  <w:pPr>
                    <w:spacing w:line="360" w:lineRule="auto"/>
                    <w:contextualSpacing/>
                    <w:jc w:val="center"/>
                    <w:rPr>
                      <w:bCs/>
                    </w:rPr>
                  </w:pPr>
                  <w:r w:rsidRPr="00630B95">
                    <w:rPr>
                      <w:bCs/>
                    </w:rPr>
                    <w:t>4</w:t>
                  </w:r>
                </w:p>
              </w:tc>
              <w:tc>
                <w:tcPr>
                  <w:tcW w:w="709" w:type="dxa"/>
                  <w:shd w:val="clear" w:color="auto" w:fill="FFFF00"/>
                  <w:vAlign w:val="center"/>
                </w:tcPr>
                <w:p w14:paraId="4D672962" w14:textId="77777777" w:rsidR="005F08B9" w:rsidRPr="00630B95" w:rsidRDefault="005F08B9" w:rsidP="00B45433">
                  <w:pPr>
                    <w:spacing w:line="360" w:lineRule="auto"/>
                    <w:contextualSpacing/>
                    <w:jc w:val="center"/>
                    <w:rPr>
                      <w:bCs/>
                    </w:rPr>
                  </w:pPr>
                  <w:r w:rsidRPr="00630B95">
                    <w:rPr>
                      <w:bCs/>
                    </w:rPr>
                    <w:t>8</w:t>
                  </w:r>
                </w:p>
              </w:tc>
              <w:tc>
                <w:tcPr>
                  <w:tcW w:w="839" w:type="dxa"/>
                  <w:shd w:val="clear" w:color="auto" w:fill="FFFF00"/>
                  <w:vAlign w:val="center"/>
                </w:tcPr>
                <w:p w14:paraId="09AB7975" w14:textId="77777777" w:rsidR="005F08B9" w:rsidRPr="00630B95" w:rsidRDefault="005F08B9" w:rsidP="00B45433">
                  <w:pPr>
                    <w:spacing w:line="360" w:lineRule="auto"/>
                    <w:contextualSpacing/>
                    <w:jc w:val="center"/>
                    <w:rPr>
                      <w:bCs/>
                    </w:rPr>
                  </w:pPr>
                  <w:r w:rsidRPr="00630B95">
                    <w:rPr>
                      <w:bCs/>
                    </w:rPr>
                    <w:t>12</w:t>
                  </w:r>
                </w:p>
              </w:tc>
              <w:tc>
                <w:tcPr>
                  <w:tcW w:w="950" w:type="dxa"/>
                  <w:shd w:val="clear" w:color="auto" w:fill="FF0000"/>
                  <w:vAlign w:val="center"/>
                </w:tcPr>
                <w:p w14:paraId="125F43B7" w14:textId="77777777" w:rsidR="005F08B9" w:rsidRPr="00630B95" w:rsidRDefault="005F08B9" w:rsidP="00B45433">
                  <w:pPr>
                    <w:spacing w:line="360" w:lineRule="auto"/>
                    <w:contextualSpacing/>
                    <w:jc w:val="center"/>
                    <w:rPr>
                      <w:bCs/>
                    </w:rPr>
                  </w:pPr>
                  <w:r w:rsidRPr="00630B95">
                    <w:rPr>
                      <w:bCs/>
                    </w:rPr>
                    <w:t>16</w:t>
                  </w:r>
                </w:p>
              </w:tc>
              <w:tc>
                <w:tcPr>
                  <w:tcW w:w="1046" w:type="dxa"/>
                  <w:shd w:val="clear" w:color="auto" w:fill="FF0000"/>
                  <w:vAlign w:val="center"/>
                </w:tcPr>
                <w:p w14:paraId="6BB57E86" w14:textId="77777777" w:rsidR="005F08B9" w:rsidRPr="00630B95" w:rsidRDefault="005F08B9" w:rsidP="00B45433">
                  <w:pPr>
                    <w:spacing w:line="360" w:lineRule="auto"/>
                    <w:contextualSpacing/>
                    <w:jc w:val="center"/>
                    <w:rPr>
                      <w:bCs/>
                    </w:rPr>
                  </w:pPr>
                  <w:r w:rsidRPr="00630B95">
                    <w:rPr>
                      <w:bCs/>
                    </w:rPr>
                    <w:t>20</w:t>
                  </w:r>
                </w:p>
              </w:tc>
            </w:tr>
            <w:tr w:rsidR="005F08B9" w:rsidRPr="00630B95" w14:paraId="06B2FAF8" w14:textId="77777777" w:rsidTr="009F12B3">
              <w:trPr>
                <w:trHeight w:val="540"/>
              </w:trPr>
              <w:tc>
                <w:tcPr>
                  <w:tcW w:w="1188" w:type="dxa"/>
                  <w:vMerge/>
                  <w:shd w:val="clear" w:color="auto" w:fill="D9D9D9" w:themeFill="background1" w:themeFillShade="D9"/>
                </w:tcPr>
                <w:p w14:paraId="6BB49B44" w14:textId="77777777" w:rsidR="005F08B9" w:rsidRPr="00630B95" w:rsidRDefault="005F08B9" w:rsidP="00B45433">
                  <w:pPr>
                    <w:spacing w:line="360" w:lineRule="auto"/>
                    <w:contextualSpacing/>
                    <w:jc w:val="both"/>
                    <w:rPr>
                      <w:bCs/>
                    </w:rPr>
                  </w:pPr>
                </w:p>
              </w:tc>
              <w:tc>
                <w:tcPr>
                  <w:tcW w:w="1736" w:type="dxa"/>
                  <w:vAlign w:val="center"/>
                </w:tcPr>
                <w:p w14:paraId="0AB57ABD" w14:textId="77777777" w:rsidR="005F08B9" w:rsidRPr="00630B95" w:rsidRDefault="005F08B9" w:rsidP="00B45433">
                  <w:pPr>
                    <w:spacing w:line="360" w:lineRule="auto"/>
                    <w:contextualSpacing/>
                    <w:jc w:val="center"/>
                    <w:rPr>
                      <w:bCs/>
                    </w:rPr>
                  </w:pPr>
                  <w:r w:rsidRPr="00630B95">
                    <w:rPr>
                      <w:b/>
                      <w:bCs/>
                    </w:rPr>
                    <w:t>Pastebimas</w:t>
                  </w:r>
                </w:p>
              </w:tc>
              <w:tc>
                <w:tcPr>
                  <w:tcW w:w="1182" w:type="dxa"/>
                  <w:shd w:val="clear" w:color="auto" w:fill="92D050"/>
                  <w:vAlign w:val="center"/>
                </w:tcPr>
                <w:p w14:paraId="6F326206" w14:textId="77777777" w:rsidR="005F08B9" w:rsidRDefault="005F08B9" w:rsidP="00B45433">
                  <w:pPr>
                    <w:spacing w:line="360" w:lineRule="auto"/>
                    <w:contextualSpacing/>
                    <w:jc w:val="center"/>
                    <w:rPr>
                      <w:bCs/>
                    </w:rPr>
                  </w:pPr>
                  <w:r w:rsidRPr="00630B95">
                    <w:rPr>
                      <w:bCs/>
                    </w:rPr>
                    <w:t>3</w:t>
                  </w:r>
                </w:p>
                <w:p w14:paraId="7AE77750" w14:textId="77777777" w:rsidR="005F08B9" w:rsidRPr="00630B95" w:rsidRDefault="005F08B9" w:rsidP="00B45433">
                  <w:pPr>
                    <w:spacing w:line="360" w:lineRule="auto"/>
                    <w:contextualSpacing/>
                    <w:jc w:val="center"/>
                    <w:rPr>
                      <w:bCs/>
                    </w:rPr>
                  </w:pPr>
                  <w:r w:rsidRPr="009234AA">
                    <w:rPr>
                      <w:b/>
                      <w:bCs/>
                      <w:i/>
                    </w:rPr>
                    <w:t>R</w:t>
                  </w:r>
                  <w:r>
                    <w:rPr>
                      <w:b/>
                      <w:bCs/>
                      <w:i/>
                      <w:vertAlign w:val="subscript"/>
                    </w:rPr>
                    <w:t>2</w:t>
                  </w:r>
                </w:p>
              </w:tc>
              <w:tc>
                <w:tcPr>
                  <w:tcW w:w="709" w:type="dxa"/>
                  <w:shd w:val="clear" w:color="auto" w:fill="FFFF00"/>
                  <w:vAlign w:val="center"/>
                </w:tcPr>
                <w:p w14:paraId="1CD93113" w14:textId="77777777" w:rsidR="005F08B9" w:rsidRPr="00630B95" w:rsidRDefault="005F08B9" w:rsidP="00B45433">
                  <w:pPr>
                    <w:spacing w:line="360" w:lineRule="auto"/>
                    <w:contextualSpacing/>
                    <w:jc w:val="center"/>
                    <w:rPr>
                      <w:bCs/>
                    </w:rPr>
                  </w:pPr>
                  <w:r w:rsidRPr="00630B95">
                    <w:rPr>
                      <w:bCs/>
                    </w:rPr>
                    <w:t>6</w:t>
                  </w:r>
                </w:p>
              </w:tc>
              <w:tc>
                <w:tcPr>
                  <w:tcW w:w="839" w:type="dxa"/>
                  <w:shd w:val="clear" w:color="auto" w:fill="FFFF00"/>
                  <w:vAlign w:val="center"/>
                </w:tcPr>
                <w:p w14:paraId="533C66DD" w14:textId="77777777" w:rsidR="005F08B9" w:rsidRDefault="005F08B9" w:rsidP="00B45433">
                  <w:pPr>
                    <w:spacing w:line="360" w:lineRule="auto"/>
                    <w:contextualSpacing/>
                    <w:jc w:val="center"/>
                    <w:rPr>
                      <w:bCs/>
                    </w:rPr>
                  </w:pPr>
                  <w:r w:rsidRPr="00630B95">
                    <w:rPr>
                      <w:bCs/>
                    </w:rPr>
                    <w:t>9</w:t>
                  </w:r>
                </w:p>
                <w:p w14:paraId="4F4318A1" w14:textId="77777777" w:rsidR="005F08B9" w:rsidRPr="00630B95" w:rsidRDefault="005F08B9" w:rsidP="00B45433">
                  <w:pPr>
                    <w:spacing w:line="360" w:lineRule="auto"/>
                    <w:contextualSpacing/>
                    <w:jc w:val="center"/>
                    <w:rPr>
                      <w:bCs/>
                    </w:rPr>
                  </w:pPr>
                  <w:r w:rsidRPr="009234AA">
                    <w:rPr>
                      <w:b/>
                      <w:bCs/>
                      <w:i/>
                    </w:rPr>
                    <w:t>R</w:t>
                  </w:r>
                  <w:r w:rsidRPr="009234AA">
                    <w:rPr>
                      <w:b/>
                      <w:bCs/>
                      <w:i/>
                      <w:vertAlign w:val="subscript"/>
                    </w:rPr>
                    <w:t>1</w:t>
                  </w:r>
                </w:p>
              </w:tc>
              <w:tc>
                <w:tcPr>
                  <w:tcW w:w="950" w:type="dxa"/>
                  <w:shd w:val="clear" w:color="auto" w:fill="FFFF00"/>
                  <w:vAlign w:val="center"/>
                </w:tcPr>
                <w:p w14:paraId="5C14CB5A" w14:textId="77777777" w:rsidR="005F08B9" w:rsidRPr="00630B95" w:rsidRDefault="005F08B9" w:rsidP="00B45433">
                  <w:pPr>
                    <w:spacing w:line="360" w:lineRule="auto"/>
                    <w:contextualSpacing/>
                    <w:jc w:val="center"/>
                    <w:rPr>
                      <w:bCs/>
                    </w:rPr>
                  </w:pPr>
                  <w:r w:rsidRPr="00630B95">
                    <w:rPr>
                      <w:bCs/>
                    </w:rPr>
                    <w:t>12</w:t>
                  </w:r>
                </w:p>
              </w:tc>
              <w:tc>
                <w:tcPr>
                  <w:tcW w:w="1046" w:type="dxa"/>
                  <w:shd w:val="clear" w:color="auto" w:fill="FFFF00"/>
                  <w:vAlign w:val="center"/>
                </w:tcPr>
                <w:p w14:paraId="24CA26FF" w14:textId="77777777" w:rsidR="005F08B9" w:rsidRDefault="005F08B9" w:rsidP="00B45433">
                  <w:pPr>
                    <w:spacing w:line="360" w:lineRule="auto"/>
                    <w:contextualSpacing/>
                    <w:jc w:val="center"/>
                    <w:rPr>
                      <w:bCs/>
                    </w:rPr>
                  </w:pPr>
                  <w:r w:rsidRPr="00630B95">
                    <w:rPr>
                      <w:bCs/>
                    </w:rPr>
                    <w:t>15</w:t>
                  </w:r>
                </w:p>
                <w:p w14:paraId="7A46BC4E" w14:textId="77777777" w:rsidR="005F08B9" w:rsidRPr="00630B95" w:rsidRDefault="005F08B9" w:rsidP="00B45433">
                  <w:pPr>
                    <w:spacing w:line="360" w:lineRule="auto"/>
                    <w:contextualSpacing/>
                    <w:jc w:val="center"/>
                    <w:rPr>
                      <w:bCs/>
                    </w:rPr>
                  </w:pPr>
                </w:p>
              </w:tc>
            </w:tr>
            <w:tr w:rsidR="005F08B9" w:rsidRPr="00630B95" w14:paraId="009B83BE" w14:textId="77777777" w:rsidTr="009F12B3">
              <w:trPr>
                <w:trHeight w:val="540"/>
              </w:trPr>
              <w:tc>
                <w:tcPr>
                  <w:tcW w:w="1188" w:type="dxa"/>
                  <w:vMerge/>
                  <w:shd w:val="clear" w:color="auto" w:fill="D9D9D9" w:themeFill="background1" w:themeFillShade="D9"/>
                </w:tcPr>
                <w:p w14:paraId="1B52AEAC" w14:textId="77777777" w:rsidR="005F08B9" w:rsidRPr="00630B95" w:rsidRDefault="005F08B9" w:rsidP="00B45433">
                  <w:pPr>
                    <w:spacing w:line="360" w:lineRule="auto"/>
                    <w:contextualSpacing/>
                    <w:jc w:val="both"/>
                    <w:rPr>
                      <w:bCs/>
                    </w:rPr>
                  </w:pPr>
                </w:p>
              </w:tc>
              <w:tc>
                <w:tcPr>
                  <w:tcW w:w="1736" w:type="dxa"/>
                  <w:vAlign w:val="center"/>
                </w:tcPr>
                <w:p w14:paraId="4E03C743" w14:textId="77777777" w:rsidR="005F08B9" w:rsidRPr="00630B95" w:rsidRDefault="005F08B9" w:rsidP="00B45433">
                  <w:pPr>
                    <w:spacing w:line="360" w:lineRule="auto"/>
                    <w:contextualSpacing/>
                    <w:jc w:val="center"/>
                    <w:rPr>
                      <w:bCs/>
                    </w:rPr>
                  </w:pPr>
                  <w:r w:rsidRPr="00630B95">
                    <w:rPr>
                      <w:b/>
                      <w:bCs/>
                    </w:rPr>
                    <w:t>Žemas</w:t>
                  </w:r>
                </w:p>
              </w:tc>
              <w:tc>
                <w:tcPr>
                  <w:tcW w:w="1182" w:type="dxa"/>
                  <w:shd w:val="clear" w:color="auto" w:fill="92D050"/>
                  <w:vAlign w:val="center"/>
                </w:tcPr>
                <w:p w14:paraId="020039D3" w14:textId="77777777" w:rsidR="005F08B9" w:rsidRPr="00630B95" w:rsidRDefault="005F08B9" w:rsidP="00B45433">
                  <w:pPr>
                    <w:spacing w:line="360" w:lineRule="auto"/>
                    <w:contextualSpacing/>
                    <w:jc w:val="center"/>
                    <w:rPr>
                      <w:bCs/>
                    </w:rPr>
                  </w:pPr>
                  <w:r w:rsidRPr="00630B95">
                    <w:rPr>
                      <w:bCs/>
                    </w:rPr>
                    <w:t>2</w:t>
                  </w:r>
                </w:p>
              </w:tc>
              <w:tc>
                <w:tcPr>
                  <w:tcW w:w="709" w:type="dxa"/>
                  <w:shd w:val="clear" w:color="auto" w:fill="92D050"/>
                  <w:vAlign w:val="center"/>
                </w:tcPr>
                <w:p w14:paraId="5DB6F704" w14:textId="77777777" w:rsidR="005F08B9" w:rsidRPr="00630B95" w:rsidRDefault="005F08B9" w:rsidP="00B45433">
                  <w:pPr>
                    <w:spacing w:line="360" w:lineRule="auto"/>
                    <w:contextualSpacing/>
                    <w:jc w:val="center"/>
                    <w:rPr>
                      <w:bCs/>
                    </w:rPr>
                  </w:pPr>
                  <w:r w:rsidRPr="00630B95">
                    <w:rPr>
                      <w:bCs/>
                    </w:rPr>
                    <w:t>4</w:t>
                  </w:r>
                </w:p>
              </w:tc>
              <w:tc>
                <w:tcPr>
                  <w:tcW w:w="839" w:type="dxa"/>
                  <w:shd w:val="clear" w:color="auto" w:fill="FFFF00"/>
                  <w:vAlign w:val="center"/>
                </w:tcPr>
                <w:p w14:paraId="4F2F4A78" w14:textId="77777777" w:rsidR="005F08B9" w:rsidRPr="00630B95" w:rsidRDefault="005F08B9" w:rsidP="00B45433">
                  <w:pPr>
                    <w:spacing w:line="360" w:lineRule="auto"/>
                    <w:contextualSpacing/>
                    <w:jc w:val="center"/>
                    <w:rPr>
                      <w:bCs/>
                    </w:rPr>
                  </w:pPr>
                  <w:r w:rsidRPr="00630B95">
                    <w:rPr>
                      <w:bCs/>
                    </w:rPr>
                    <w:t>6</w:t>
                  </w:r>
                </w:p>
              </w:tc>
              <w:tc>
                <w:tcPr>
                  <w:tcW w:w="950" w:type="dxa"/>
                  <w:shd w:val="clear" w:color="auto" w:fill="FFFF00"/>
                  <w:vAlign w:val="center"/>
                </w:tcPr>
                <w:p w14:paraId="6448AB4B" w14:textId="77777777" w:rsidR="005F08B9" w:rsidRPr="00630B95" w:rsidRDefault="005F08B9" w:rsidP="00B45433">
                  <w:pPr>
                    <w:spacing w:line="360" w:lineRule="auto"/>
                    <w:contextualSpacing/>
                    <w:jc w:val="center"/>
                    <w:rPr>
                      <w:bCs/>
                    </w:rPr>
                  </w:pPr>
                  <w:r w:rsidRPr="00630B95">
                    <w:rPr>
                      <w:bCs/>
                    </w:rPr>
                    <w:t>8</w:t>
                  </w:r>
                </w:p>
              </w:tc>
              <w:tc>
                <w:tcPr>
                  <w:tcW w:w="1046" w:type="dxa"/>
                  <w:shd w:val="clear" w:color="auto" w:fill="FFFF00"/>
                  <w:vAlign w:val="center"/>
                </w:tcPr>
                <w:p w14:paraId="52E043F2" w14:textId="77777777" w:rsidR="005F08B9" w:rsidRPr="00630B95" w:rsidRDefault="005F08B9" w:rsidP="00B45433">
                  <w:pPr>
                    <w:spacing w:line="360" w:lineRule="auto"/>
                    <w:contextualSpacing/>
                    <w:jc w:val="center"/>
                    <w:rPr>
                      <w:bCs/>
                    </w:rPr>
                  </w:pPr>
                  <w:r w:rsidRPr="00630B95">
                    <w:rPr>
                      <w:bCs/>
                    </w:rPr>
                    <w:t>10</w:t>
                  </w:r>
                </w:p>
              </w:tc>
            </w:tr>
            <w:tr w:rsidR="005F08B9" w:rsidRPr="00630B95" w14:paraId="2C65D7D1" w14:textId="77777777" w:rsidTr="009F12B3">
              <w:trPr>
                <w:trHeight w:val="540"/>
              </w:trPr>
              <w:tc>
                <w:tcPr>
                  <w:tcW w:w="1188" w:type="dxa"/>
                  <w:vMerge/>
                  <w:shd w:val="clear" w:color="auto" w:fill="D9D9D9" w:themeFill="background1" w:themeFillShade="D9"/>
                </w:tcPr>
                <w:p w14:paraId="6919C7EB" w14:textId="77777777" w:rsidR="005F08B9" w:rsidRPr="00630B95" w:rsidRDefault="005F08B9" w:rsidP="00B45433">
                  <w:pPr>
                    <w:spacing w:line="360" w:lineRule="auto"/>
                    <w:contextualSpacing/>
                    <w:jc w:val="both"/>
                    <w:rPr>
                      <w:bCs/>
                    </w:rPr>
                  </w:pPr>
                </w:p>
              </w:tc>
              <w:tc>
                <w:tcPr>
                  <w:tcW w:w="1736" w:type="dxa"/>
                  <w:vAlign w:val="center"/>
                </w:tcPr>
                <w:p w14:paraId="1D176F8C" w14:textId="77777777" w:rsidR="005F08B9" w:rsidRPr="00630B95" w:rsidRDefault="005F08B9" w:rsidP="00B45433">
                  <w:pPr>
                    <w:spacing w:line="360" w:lineRule="auto"/>
                    <w:contextualSpacing/>
                    <w:jc w:val="center"/>
                    <w:rPr>
                      <w:bCs/>
                    </w:rPr>
                  </w:pPr>
                  <w:r w:rsidRPr="00630B95">
                    <w:rPr>
                      <w:b/>
                      <w:bCs/>
                    </w:rPr>
                    <w:t>Nereikšmingas</w:t>
                  </w:r>
                </w:p>
              </w:tc>
              <w:tc>
                <w:tcPr>
                  <w:tcW w:w="1182" w:type="dxa"/>
                  <w:shd w:val="clear" w:color="auto" w:fill="92D050"/>
                  <w:vAlign w:val="center"/>
                </w:tcPr>
                <w:p w14:paraId="271EFF64" w14:textId="77777777" w:rsidR="005F08B9" w:rsidRPr="00630B95" w:rsidRDefault="005F08B9" w:rsidP="00B45433">
                  <w:pPr>
                    <w:spacing w:line="360" w:lineRule="auto"/>
                    <w:contextualSpacing/>
                    <w:jc w:val="center"/>
                    <w:rPr>
                      <w:bCs/>
                    </w:rPr>
                  </w:pPr>
                  <w:r w:rsidRPr="00630B95">
                    <w:rPr>
                      <w:bCs/>
                    </w:rPr>
                    <w:t>1</w:t>
                  </w:r>
                </w:p>
              </w:tc>
              <w:tc>
                <w:tcPr>
                  <w:tcW w:w="709" w:type="dxa"/>
                  <w:shd w:val="clear" w:color="auto" w:fill="92D050"/>
                  <w:vAlign w:val="center"/>
                </w:tcPr>
                <w:p w14:paraId="6B385546" w14:textId="77777777" w:rsidR="005F08B9" w:rsidRPr="00630B95" w:rsidRDefault="005F08B9" w:rsidP="00B45433">
                  <w:pPr>
                    <w:spacing w:line="360" w:lineRule="auto"/>
                    <w:contextualSpacing/>
                    <w:jc w:val="center"/>
                    <w:rPr>
                      <w:bCs/>
                    </w:rPr>
                  </w:pPr>
                  <w:r w:rsidRPr="00630B95">
                    <w:rPr>
                      <w:bCs/>
                    </w:rPr>
                    <w:t>2</w:t>
                  </w:r>
                </w:p>
              </w:tc>
              <w:tc>
                <w:tcPr>
                  <w:tcW w:w="839" w:type="dxa"/>
                  <w:shd w:val="clear" w:color="auto" w:fill="92D050"/>
                  <w:vAlign w:val="center"/>
                </w:tcPr>
                <w:p w14:paraId="6B2C563D" w14:textId="77777777" w:rsidR="005F08B9" w:rsidRPr="00630B95" w:rsidRDefault="005F08B9" w:rsidP="00B45433">
                  <w:pPr>
                    <w:spacing w:line="360" w:lineRule="auto"/>
                    <w:contextualSpacing/>
                    <w:jc w:val="center"/>
                    <w:rPr>
                      <w:bCs/>
                    </w:rPr>
                  </w:pPr>
                  <w:r w:rsidRPr="00630B95">
                    <w:rPr>
                      <w:bCs/>
                    </w:rPr>
                    <w:t>3</w:t>
                  </w:r>
                </w:p>
              </w:tc>
              <w:tc>
                <w:tcPr>
                  <w:tcW w:w="950" w:type="dxa"/>
                  <w:shd w:val="clear" w:color="auto" w:fill="92D050"/>
                  <w:vAlign w:val="center"/>
                </w:tcPr>
                <w:p w14:paraId="1EF54D16" w14:textId="77777777" w:rsidR="005F08B9" w:rsidRPr="00630B95" w:rsidRDefault="005F08B9" w:rsidP="00B45433">
                  <w:pPr>
                    <w:spacing w:line="360" w:lineRule="auto"/>
                    <w:contextualSpacing/>
                    <w:jc w:val="center"/>
                    <w:rPr>
                      <w:bCs/>
                    </w:rPr>
                  </w:pPr>
                  <w:r w:rsidRPr="00630B95">
                    <w:rPr>
                      <w:bCs/>
                    </w:rPr>
                    <w:t>4</w:t>
                  </w:r>
                </w:p>
              </w:tc>
              <w:tc>
                <w:tcPr>
                  <w:tcW w:w="1046" w:type="dxa"/>
                  <w:shd w:val="clear" w:color="auto" w:fill="92D050"/>
                  <w:vAlign w:val="center"/>
                </w:tcPr>
                <w:p w14:paraId="439B0043" w14:textId="77777777" w:rsidR="005F08B9" w:rsidRPr="00630B95" w:rsidRDefault="005F08B9" w:rsidP="00B45433">
                  <w:pPr>
                    <w:spacing w:line="360" w:lineRule="auto"/>
                    <w:contextualSpacing/>
                    <w:jc w:val="center"/>
                    <w:rPr>
                      <w:bCs/>
                    </w:rPr>
                  </w:pPr>
                  <w:r w:rsidRPr="00630B95">
                    <w:rPr>
                      <w:bCs/>
                    </w:rPr>
                    <w:t>5</w:t>
                  </w:r>
                </w:p>
              </w:tc>
            </w:tr>
            <w:tr w:rsidR="005F08B9" w:rsidRPr="00630B95" w14:paraId="0B64D016" w14:textId="77777777" w:rsidTr="009F12B3">
              <w:trPr>
                <w:trHeight w:val="741"/>
              </w:trPr>
              <w:tc>
                <w:tcPr>
                  <w:tcW w:w="1188" w:type="dxa"/>
                  <w:vMerge/>
                  <w:tcBorders>
                    <w:bottom w:val="single" w:sz="4" w:space="0" w:color="auto"/>
                  </w:tcBorders>
                  <w:shd w:val="clear" w:color="auto" w:fill="D9D9D9" w:themeFill="background1" w:themeFillShade="D9"/>
                </w:tcPr>
                <w:p w14:paraId="5A153FB8" w14:textId="77777777" w:rsidR="005F08B9" w:rsidRPr="00630B95" w:rsidRDefault="005F08B9" w:rsidP="00B45433">
                  <w:pPr>
                    <w:spacing w:line="360" w:lineRule="auto"/>
                    <w:contextualSpacing/>
                    <w:jc w:val="both"/>
                    <w:rPr>
                      <w:bCs/>
                    </w:rPr>
                  </w:pPr>
                </w:p>
              </w:tc>
              <w:tc>
                <w:tcPr>
                  <w:tcW w:w="1736" w:type="dxa"/>
                  <w:vAlign w:val="center"/>
                </w:tcPr>
                <w:p w14:paraId="7C3A6B07" w14:textId="77777777" w:rsidR="005F08B9" w:rsidRPr="00630B95" w:rsidRDefault="005F08B9" w:rsidP="00B45433">
                  <w:pPr>
                    <w:spacing w:line="360" w:lineRule="auto"/>
                    <w:contextualSpacing/>
                    <w:jc w:val="center"/>
                    <w:rPr>
                      <w:bCs/>
                    </w:rPr>
                  </w:pPr>
                </w:p>
              </w:tc>
              <w:tc>
                <w:tcPr>
                  <w:tcW w:w="1182" w:type="dxa"/>
                  <w:vAlign w:val="center"/>
                </w:tcPr>
                <w:p w14:paraId="6828EF0A" w14:textId="77777777" w:rsidR="005F08B9" w:rsidRPr="00630B95" w:rsidRDefault="005F08B9" w:rsidP="00B45433">
                  <w:pPr>
                    <w:spacing w:line="360" w:lineRule="auto"/>
                    <w:contextualSpacing/>
                    <w:jc w:val="center"/>
                    <w:rPr>
                      <w:bCs/>
                    </w:rPr>
                  </w:pPr>
                  <w:r w:rsidRPr="00630B95">
                    <w:rPr>
                      <w:b/>
                      <w:bCs/>
                    </w:rPr>
                    <w:t>Labai žema</w:t>
                  </w:r>
                </w:p>
              </w:tc>
              <w:tc>
                <w:tcPr>
                  <w:tcW w:w="709" w:type="dxa"/>
                  <w:vAlign w:val="center"/>
                </w:tcPr>
                <w:p w14:paraId="05674A72" w14:textId="77777777" w:rsidR="005F08B9" w:rsidRPr="00630B95" w:rsidRDefault="005F08B9" w:rsidP="00B45433">
                  <w:pPr>
                    <w:spacing w:line="360" w:lineRule="auto"/>
                    <w:contextualSpacing/>
                    <w:jc w:val="center"/>
                    <w:rPr>
                      <w:bCs/>
                    </w:rPr>
                  </w:pPr>
                  <w:r w:rsidRPr="00630B95">
                    <w:rPr>
                      <w:b/>
                      <w:bCs/>
                    </w:rPr>
                    <w:t>Žema</w:t>
                  </w:r>
                </w:p>
              </w:tc>
              <w:tc>
                <w:tcPr>
                  <w:tcW w:w="839" w:type="dxa"/>
                  <w:vAlign w:val="center"/>
                </w:tcPr>
                <w:p w14:paraId="669FBBE6" w14:textId="77777777" w:rsidR="005F08B9" w:rsidRPr="00630B95" w:rsidRDefault="005F08B9" w:rsidP="00B45433">
                  <w:pPr>
                    <w:spacing w:line="360" w:lineRule="auto"/>
                    <w:contextualSpacing/>
                    <w:jc w:val="center"/>
                    <w:rPr>
                      <w:bCs/>
                    </w:rPr>
                  </w:pPr>
                  <w:r w:rsidRPr="00630B95">
                    <w:rPr>
                      <w:b/>
                      <w:bCs/>
                    </w:rPr>
                    <w:t>Vidutinė</w:t>
                  </w:r>
                </w:p>
              </w:tc>
              <w:tc>
                <w:tcPr>
                  <w:tcW w:w="950" w:type="dxa"/>
                  <w:vAlign w:val="center"/>
                </w:tcPr>
                <w:p w14:paraId="18F84125" w14:textId="77777777" w:rsidR="005F08B9" w:rsidRPr="00630B95" w:rsidRDefault="005F08B9" w:rsidP="00B45433">
                  <w:pPr>
                    <w:spacing w:line="360" w:lineRule="auto"/>
                    <w:contextualSpacing/>
                    <w:jc w:val="center"/>
                    <w:rPr>
                      <w:bCs/>
                    </w:rPr>
                  </w:pPr>
                  <w:r w:rsidRPr="00630B95">
                    <w:rPr>
                      <w:b/>
                      <w:bCs/>
                    </w:rPr>
                    <w:t>Aukšta</w:t>
                  </w:r>
                </w:p>
              </w:tc>
              <w:tc>
                <w:tcPr>
                  <w:tcW w:w="1046" w:type="dxa"/>
                  <w:vAlign w:val="center"/>
                </w:tcPr>
                <w:p w14:paraId="06E7F313" w14:textId="77777777" w:rsidR="005F08B9" w:rsidRPr="00630B95" w:rsidRDefault="005F08B9" w:rsidP="00B45433">
                  <w:pPr>
                    <w:spacing w:line="360" w:lineRule="auto"/>
                    <w:contextualSpacing/>
                    <w:jc w:val="center"/>
                    <w:rPr>
                      <w:bCs/>
                    </w:rPr>
                  </w:pPr>
                  <w:r w:rsidRPr="00630B95">
                    <w:rPr>
                      <w:b/>
                      <w:bCs/>
                    </w:rPr>
                    <w:t>Labai aukšta</w:t>
                  </w:r>
                </w:p>
              </w:tc>
            </w:tr>
            <w:tr w:rsidR="005F08B9" w:rsidRPr="00630B95" w14:paraId="081E5B94" w14:textId="77777777" w:rsidTr="00B45433">
              <w:trPr>
                <w:trHeight w:val="520"/>
              </w:trPr>
              <w:tc>
                <w:tcPr>
                  <w:tcW w:w="1188" w:type="dxa"/>
                  <w:tcBorders>
                    <w:left w:val="nil"/>
                    <w:bottom w:val="nil"/>
                  </w:tcBorders>
                </w:tcPr>
                <w:p w14:paraId="358F879A" w14:textId="77777777" w:rsidR="005F08B9" w:rsidRPr="00630B95" w:rsidRDefault="005F08B9" w:rsidP="00B45433">
                  <w:pPr>
                    <w:spacing w:line="360" w:lineRule="auto"/>
                    <w:contextualSpacing/>
                    <w:jc w:val="both"/>
                    <w:rPr>
                      <w:bCs/>
                    </w:rPr>
                  </w:pPr>
                </w:p>
              </w:tc>
              <w:tc>
                <w:tcPr>
                  <w:tcW w:w="6462" w:type="dxa"/>
                  <w:gridSpan w:val="6"/>
                  <w:shd w:val="clear" w:color="auto" w:fill="D9D9D9" w:themeFill="background1" w:themeFillShade="D9"/>
                </w:tcPr>
                <w:p w14:paraId="5E51EDD8" w14:textId="77777777" w:rsidR="005F08B9" w:rsidRPr="00630B95" w:rsidRDefault="005F08B9" w:rsidP="00B45433">
                  <w:pPr>
                    <w:spacing w:line="360" w:lineRule="auto"/>
                    <w:contextualSpacing/>
                    <w:jc w:val="center"/>
                    <w:rPr>
                      <w:bCs/>
                      <w:sz w:val="56"/>
                      <w:szCs w:val="56"/>
                    </w:rPr>
                  </w:pPr>
                  <w:r w:rsidRPr="00630B95">
                    <w:rPr>
                      <w:bCs/>
                      <w:sz w:val="56"/>
                      <w:szCs w:val="56"/>
                    </w:rPr>
                    <w:t>TIKIMYBĖ</w:t>
                  </w:r>
                </w:p>
              </w:tc>
            </w:tr>
          </w:tbl>
          <w:p w14:paraId="0FABE3A8" w14:textId="77777777" w:rsidR="005F08B9" w:rsidRDefault="005F08B9" w:rsidP="008C7C9A">
            <w:pPr>
              <w:jc w:val="center"/>
              <w:rPr>
                <w:b/>
                <w:sz w:val="28"/>
                <w:szCs w:val="28"/>
              </w:rPr>
            </w:pPr>
          </w:p>
          <w:p w14:paraId="504961EC" w14:textId="77777777" w:rsidR="005F08B9" w:rsidRPr="00EF2B0C" w:rsidRDefault="005F08B9" w:rsidP="008C7C9A">
            <w:pPr>
              <w:jc w:val="center"/>
              <w:rPr>
                <w:b/>
                <w:color w:val="FF0000"/>
                <w:sz w:val="28"/>
                <w:szCs w:val="28"/>
              </w:rPr>
            </w:pPr>
          </w:p>
        </w:tc>
      </w:tr>
      <w:tr w:rsidR="005F08B9" w:rsidRPr="004A3362" w14:paraId="5967C45A" w14:textId="77777777" w:rsidTr="00FA7102">
        <w:trPr>
          <w:trHeight w:val="698"/>
        </w:trPr>
        <w:tc>
          <w:tcPr>
            <w:tcW w:w="4962" w:type="dxa"/>
            <w:tcBorders>
              <w:right w:val="single" w:sz="4" w:space="0" w:color="auto"/>
            </w:tcBorders>
          </w:tcPr>
          <w:p w14:paraId="393EBABF" w14:textId="77777777" w:rsidR="005F08B9" w:rsidRPr="00C1658F" w:rsidRDefault="005F08B9" w:rsidP="00494432">
            <w:pPr>
              <w:rPr>
                <w:b/>
                <w:bCs/>
              </w:rPr>
            </w:pPr>
            <w:r w:rsidRPr="00C1658F">
              <w:rPr>
                <w:b/>
                <w:bCs/>
              </w:rPr>
              <w:lastRenderedPageBreak/>
              <w:t>4.1. Raudonas rizikingumo lygis</w:t>
            </w:r>
          </w:p>
          <w:p w14:paraId="368F0D53" w14:textId="77777777" w:rsidR="005F08B9" w:rsidRPr="00C1658F" w:rsidRDefault="005F08B9" w:rsidP="00494432">
            <w:r w:rsidRPr="00C1658F">
              <w:rPr>
                <w:bCs/>
              </w:rPr>
              <w:t>(žemėjančia tvarka nuo didžiausio balo)</w:t>
            </w:r>
            <w:r w:rsidRPr="00C1658F">
              <w:t xml:space="preserve"> </w:t>
            </w:r>
          </w:p>
        </w:tc>
        <w:tc>
          <w:tcPr>
            <w:tcW w:w="5245" w:type="dxa"/>
            <w:tcBorders>
              <w:top w:val="single" w:sz="4" w:space="0" w:color="auto"/>
              <w:left w:val="single" w:sz="4" w:space="0" w:color="auto"/>
              <w:bottom w:val="single" w:sz="4" w:space="0" w:color="auto"/>
              <w:right w:val="single" w:sz="4" w:space="0" w:color="auto"/>
            </w:tcBorders>
          </w:tcPr>
          <w:p w14:paraId="28FEFE1F" w14:textId="77777777" w:rsidR="005F08B9" w:rsidRPr="00C1658F" w:rsidRDefault="005F08B9" w:rsidP="00271870">
            <w:pPr>
              <w:tabs>
                <w:tab w:val="left" w:pos="851"/>
              </w:tabs>
              <w:jc w:val="both"/>
              <w:rPr>
                <w:b/>
                <w:i/>
              </w:rPr>
            </w:pPr>
            <w:r w:rsidRPr="00C1658F">
              <w:t>Korupcijos pasireiškimo tikimybės nustatymo metu analizuojamoje veiklos srityje raudono rizikingumo lygio rizikų nenustatyta.</w:t>
            </w:r>
          </w:p>
        </w:tc>
      </w:tr>
      <w:tr w:rsidR="005F08B9" w:rsidRPr="004A3362" w14:paraId="044A74AF" w14:textId="77777777" w:rsidTr="00FA7102">
        <w:trPr>
          <w:trHeight w:val="698"/>
        </w:trPr>
        <w:tc>
          <w:tcPr>
            <w:tcW w:w="4962" w:type="dxa"/>
            <w:tcBorders>
              <w:right w:val="single" w:sz="4" w:space="0" w:color="auto"/>
            </w:tcBorders>
          </w:tcPr>
          <w:p w14:paraId="7CE48968" w14:textId="77777777" w:rsidR="005F08B9" w:rsidRPr="00C1658F" w:rsidRDefault="005F08B9" w:rsidP="00494432">
            <w:pPr>
              <w:rPr>
                <w:b/>
                <w:bCs/>
              </w:rPr>
            </w:pPr>
            <w:r w:rsidRPr="00C1658F">
              <w:rPr>
                <w:b/>
                <w:bCs/>
              </w:rPr>
              <w:t>4.2. Geltonas rizikingumo lygis</w:t>
            </w:r>
            <w:r w:rsidRPr="00C1658F">
              <w:rPr>
                <w:b/>
              </w:rPr>
              <w:t xml:space="preserve"> </w:t>
            </w:r>
            <w:r w:rsidRPr="00C1658F">
              <w:rPr>
                <w:bCs/>
              </w:rPr>
              <w:t>(žemėjančia tvarka nuo didžiausio balo)</w:t>
            </w:r>
          </w:p>
        </w:tc>
        <w:tc>
          <w:tcPr>
            <w:tcW w:w="5245" w:type="dxa"/>
            <w:tcBorders>
              <w:top w:val="single" w:sz="4" w:space="0" w:color="auto"/>
              <w:left w:val="single" w:sz="4" w:space="0" w:color="auto"/>
              <w:bottom w:val="single" w:sz="4" w:space="0" w:color="auto"/>
              <w:right w:val="single" w:sz="4" w:space="0" w:color="auto"/>
            </w:tcBorders>
          </w:tcPr>
          <w:p w14:paraId="66785D61" w14:textId="77777777" w:rsidR="005F08B9" w:rsidRPr="00C1658F" w:rsidRDefault="005F08B9" w:rsidP="00494432">
            <w:pPr>
              <w:tabs>
                <w:tab w:val="left" w:pos="851"/>
              </w:tabs>
              <w:jc w:val="both"/>
              <w:rPr>
                <w:b/>
                <w:bCs/>
                <w:i/>
              </w:rPr>
            </w:pPr>
            <w:r w:rsidRPr="00C1658F">
              <w:rPr>
                <w:b/>
                <w:bCs/>
                <w:i/>
              </w:rPr>
              <w:t>R</w:t>
            </w:r>
            <w:r w:rsidRPr="00C1658F">
              <w:rPr>
                <w:b/>
                <w:bCs/>
                <w:i/>
                <w:vertAlign w:val="subscript"/>
              </w:rPr>
              <w:t>1</w:t>
            </w:r>
            <w:r w:rsidRPr="00C1658F">
              <w:rPr>
                <w:b/>
                <w:bCs/>
                <w:i/>
              </w:rPr>
              <w:t xml:space="preserve"> - Galimybė priimti neobjektyvius, rangovams palankius, sprendimus susijusius su rangos darbų sutarčių pakeitimais.</w:t>
            </w:r>
          </w:p>
          <w:p w14:paraId="32A34328" w14:textId="77777777" w:rsidR="005F08B9" w:rsidRPr="00C1658F" w:rsidRDefault="005F08B9" w:rsidP="00494432">
            <w:pPr>
              <w:tabs>
                <w:tab w:val="left" w:pos="851"/>
              </w:tabs>
              <w:jc w:val="both"/>
              <w:rPr>
                <w:b/>
                <w:iCs/>
              </w:rPr>
            </w:pPr>
            <w:r w:rsidRPr="00C1658F">
              <w:rPr>
                <w:bCs/>
                <w:iCs/>
              </w:rPr>
              <w:t>P=3; T=3. Rizikos lygis: R=</w:t>
            </w:r>
            <w:proofErr w:type="spellStart"/>
            <w:r w:rsidRPr="00C1658F">
              <w:rPr>
                <w:bCs/>
                <w:iCs/>
              </w:rPr>
              <w:t>TxP</w:t>
            </w:r>
            <w:proofErr w:type="spellEnd"/>
            <w:r w:rsidRPr="00C1658F">
              <w:rPr>
                <w:bCs/>
                <w:iCs/>
              </w:rPr>
              <w:t>;</w:t>
            </w:r>
            <w:r w:rsidRPr="00C1658F">
              <w:rPr>
                <w:b/>
                <w:iCs/>
              </w:rPr>
              <w:t xml:space="preserve"> R</w:t>
            </w:r>
            <w:r w:rsidRPr="00C1658F">
              <w:rPr>
                <w:b/>
                <w:iCs/>
                <w:vertAlign w:val="subscript"/>
              </w:rPr>
              <w:t>1</w:t>
            </w:r>
            <w:r w:rsidRPr="00C1658F">
              <w:rPr>
                <w:b/>
                <w:iCs/>
              </w:rPr>
              <w:t>=9</w:t>
            </w:r>
          </w:p>
          <w:p w14:paraId="3C54251B" w14:textId="77777777" w:rsidR="005F08B9" w:rsidRPr="00C1658F" w:rsidRDefault="005F08B9" w:rsidP="00C1658F">
            <w:pPr>
              <w:spacing w:after="160" w:line="259" w:lineRule="auto"/>
              <w:jc w:val="both"/>
              <w:rPr>
                <w:bCs/>
                <w:spacing w:val="-2"/>
              </w:rPr>
            </w:pPr>
            <w:r w:rsidRPr="00C1658F">
              <w:rPr>
                <w:bCs/>
                <w:spacing w:val="-2"/>
              </w:rPr>
              <w:t>Rizikos R</w:t>
            </w:r>
            <w:r w:rsidRPr="00C1658F">
              <w:rPr>
                <w:bCs/>
                <w:spacing w:val="-2"/>
                <w:vertAlign w:val="subscript"/>
              </w:rPr>
              <w:t>1</w:t>
            </w:r>
            <w:r w:rsidRPr="00C1658F">
              <w:rPr>
                <w:bCs/>
                <w:spacing w:val="-2"/>
              </w:rPr>
              <w:t xml:space="preserve"> galimo (hipotetinio) lygio poveikis (P</w:t>
            </w:r>
            <w:r w:rsidRPr="00C1658F">
              <w:rPr>
                <w:bCs/>
                <w:spacing w:val="-2"/>
                <w:vertAlign w:val="subscript"/>
              </w:rPr>
              <w:t>1</w:t>
            </w:r>
            <w:r w:rsidRPr="00C1658F">
              <w:rPr>
                <w:bCs/>
                <w:spacing w:val="-2"/>
              </w:rPr>
              <w:t>) -  vertinama 3 lygiu (pastebimas lygis), nes atlikus pateiktų poveikio kriterijų, kurie nusako konkrečios rizikos sukeltą arba galimą (hipotetinį) neigiamą poveikį viešojo sektoriaus subjekto veiklai, reputacijai, pasitikėjimui juo, finansinius nuostolius (negautas pajamas)  ir t. t., analizę, nustatyta, kad gali būti gaunami kitų institucijų, pvz.,  LR specialiųjų tyrimų tarnybos, paklausimai apie konkrečius atvejus ar situacijas apie galimas korupcijos apraiškas (rizikas) arba kontrolės veiksmų metu nustatytas ydingas situacijas.</w:t>
            </w:r>
          </w:p>
          <w:p w14:paraId="032052E8" w14:textId="77777777" w:rsidR="005F08B9" w:rsidRPr="00C1658F" w:rsidRDefault="005F08B9" w:rsidP="00A06B31">
            <w:pPr>
              <w:spacing w:after="160" w:line="259" w:lineRule="auto"/>
              <w:jc w:val="both"/>
              <w:rPr>
                <w:bCs/>
                <w:spacing w:val="-2"/>
              </w:rPr>
            </w:pPr>
            <w:r w:rsidRPr="00C1658F">
              <w:rPr>
                <w:bCs/>
                <w:spacing w:val="-2"/>
              </w:rPr>
              <w:t>Rizikos R</w:t>
            </w:r>
            <w:r w:rsidRPr="00C1658F">
              <w:rPr>
                <w:bCs/>
                <w:spacing w:val="-2"/>
                <w:vertAlign w:val="subscript"/>
              </w:rPr>
              <w:t>1</w:t>
            </w:r>
            <w:r w:rsidRPr="00C1658F">
              <w:rPr>
                <w:bCs/>
                <w:spacing w:val="-2"/>
              </w:rPr>
              <w:t xml:space="preserve"> Tikimybė (T</w:t>
            </w:r>
            <w:r w:rsidRPr="00C1658F">
              <w:rPr>
                <w:bCs/>
                <w:spacing w:val="-2"/>
                <w:vertAlign w:val="subscript"/>
              </w:rPr>
              <w:t>1</w:t>
            </w:r>
            <w:r w:rsidRPr="00C1658F">
              <w:rPr>
                <w:bCs/>
                <w:spacing w:val="-2"/>
              </w:rPr>
              <w:t xml:space="preserve">) vertinama 3 lygiu (Vidutinis), kadangi analizuojamu laikotarpiu Turto banko veiklos srityje nors ir nebuvo nustatyta galimų interesų konfliktų, tačiau nustatymo metu nebuvo panaikinti VPT sutarties pakeitimų teisėtumo vertinimo ataskaitoje konstatuoti pažeidimai, atitinka situaciją, kai „Ne daugiau kaip 1 atvejis per metus </w:t>
            </w:r>
            <w:r w:rsidRPr="00C1658F">
              <w:rPr>
                <w:bCs/>
                <w:spacing w:val="-2"/>
              </w:rPr>
              <w:lastRenderedPageBreak/>
              <w:t>subjektuose, kuriuose dirba nuo 101 iki 500 darbuotojų“.</w:t>
            </w:r>
          </w:p>
          <w:p w14:paraId="0A193672" w14:textId="77777777" w:rsidR="005F08B9" w:rsidRPr="00C1658F" w:rsidRDefault="005F08B9" w:rsidP="00A06B31">
            <w:pPr>
              <w:spacing w:after="160" w:line="259" w:lineRule="auto"/>
              <w:jc w:val="both"/>
            </w:pPr>
            <w:r w:rsidRPr="00C1658F">
              <w:t>Papildomi duomenys ir (ar) informacija, kodėl skirti tokie tikimybės ir poveikio balai yra pateikiami šios išvados  1 priedo 6 punkte.</w:t>
            </w:r>
          </w:p>
        </w:tc>
      </w:tr>
      <w:tr w:rsidR="005F08B9" w:rsidRPr="004A3362" w14:paraId="3E63365B" w14:textId="77777777" w:rsidTr="00FA7102">
        <w:trPr>
          <w:trHeight w:val="698"/>
        </w:trPr>
        <w:tc>
          <w:tcPr>
            <w:tcW w:w="4962" w:type="dxa"/>
            <w:tcBorders>
              <w:right w:val="single" w:sz="4" w:space="0" w:color="auto"/>
            </w:tcBorders>
          </w:tcPr>
          <w:p w14:paraId="376B09B3" w14:textId="77777777" w:rsidR="005F08B9" w:rsidRPr="00C82996" w:rsidRDefault="005F08B9" w:rsidP="00494432">
            <w:pPr>
              <w:rPr>
                <w:b/>
                <w:bCs/>
              </w:rPr>
            </w:pPr>
            <w:r w:rsidRPr="00C82996">
              <w:rPr>
                <w:b/>
                <w:bCs/>
              </w:rPr>
              <w:lastRenderedPageBreak/>
              <w:t xml:space="preserve">4.3. Žalias rizikingumo lygis </w:t>
            </w:r>
            <w:r w:rsidRPr="00C82996">
              <w:rPr>
                <w:bCs/>
              </w:rPr>
              <w:t>(žemėjančia tvarka nuo didžiausio balo)</w:t>
            </w:r>
          </w:p>
        </w:tc>
        <w:tc>
          <w:tcPr>
            <w:tcW w:w="5245" w:type="dxa"/>
            <w:tcBorders>
              <w:top w:val="single" w:sz="4" w:space="0" w:color="auto"/>
              <w:left w:val="single" w:sz="4" w:space="0" w:color="auto"/>
              <w:bottom w:val="single" w:sz="4" w:space="0" w:color="auto"/>
              <w:right w:val="single" w:sz="4" w:space="0" w:color="auto"/>
            </w:tcBorders>
          </w:tcPr>
          <w:p w14:paraId="205FE216" w14:textId="77777777" w:rsidR="005F08B9" w:rsidRPr="000F26A3" w:rsidRDefault="005F08B9" w:rsidP="001D3894">
            <w:pPr>
              <w:spacing w:after="160" w:line="259" w:lineRule="auto"/>
              <w:ind w:left="33"/>
              <w:jc w:val="both"/>
              <w:rPr>
                <w:b/>
                <w:bCs/>
                <w:lang w:eastAsia="lt-LT"/>
              </w:rPr>
            </w:pPr>
            <w:r w:rsidRPr="00C82996">
              <w:rPr>
                <w:b/>
                <w:bCs/>
                <w:i/>
              </w:rPr>
              <w:t>R</w:t>
            </w:r>
            <w:r w:rsidRPr="00C82996">
              <w:rPr>
                <w:b/>
                <w:bCs/>
                <w:i/>
                <w:vertAlign w:val="subscript"/>
              </w:rPr>
              <w:t>2</w:t>
            </w:r>
            <w:r w:rsidRPr="00C82996">
              <w:rPr>
                <w:b/>
                <w:bCs/>
                <w:i/>
              </w:rPr>
              <w:t xml:space="preserve"> - Galimybė priimti neobjektyvius, rangovams palankius sprendimus dėl netinkamo sutarčių vykdymo priežiūros susijusios su civilinės atsakomybės draudimo (toliau – CAD)  ir sutarties įvykdymo užtikrinimo dokumentų (toliau – SUD) prievolėmis.</w:t>
            </w:r>
          </w:p>
          <w:p w14:paraId="19713292" w14:textId="77777777" w:rsidR="005F08B9" w:rsidRPr="00C82996" w:rsidRDefault="005F08B9" w:rsidP="001D3894">
            <w:pPr>
              <w:spacing w:after="160" w:line="259" w:lineRule="auto"/>
              <w:ind w:left="33"/>
              <w:jc w:val="both"/>
              <w:rPr>
                <w:b/>
                <w:spacing w:val="-2"/>
              </w:rPr>
            </w:pPr>
            <w:r w:rsidRPr="00C82996">
              <w:rPr>
                <w:bCs/>
                <w:spacing w:val="-2"/>
              </w:rPr>
              <w:t>P=3; T=1. Rizikos lygis: R=</w:t>
            </w:r>
            <w:proofErr w:type="spellStart"/>
            <w:r w:rsidRPr="00C82996">
              <w:rPr>
                <w:bCs/>
                <w:spacing w:val="-2"/>
              </w:rPr>
              <w:t>TxP</w:t>
            </w:r>
            <w:proofErr w:type="spellEnd"/>
            <w:r w:rsidRPr="00C82996">
              <w:rPr>
                <w:bCs/>
                <w:spacing w:val="-2"/>
              </w:rPr>
              <w:t xml:space="preserve">; </w:t>
            </w:r>
            <w:r w:rsidRPr="00C82996">
              <w:rPr>
                <w:b/>
                <w:spacing w:val="-2"/>
              </w:rPr>
              <w:t>R</w:t>
            </w:r>
            <w:r w:rsidRPr="00C82996">
              <w:rPr>
                <w:b/>
                <w:spacing w:val="-2"/>
                <w:vertAlign w:val="subscript"/>
              </w:rPr>
              <w:t>2</w:t>
            </w:r>
            <w:r w:rsidRPr="00C82996">
              <w:rPr>
                <w:b/>
                <w:spacing w:val="-2"/>
              </w:rPr>
              <w:t>=3</w:t>
            </w:r>
          </w:p>
          <w:p w14:paraId="26ADD6F1" w14:textId="77777777" w:rsidR="005F08B9" w:rsidRPr="000F26A3" w:rsidRDefault="005F08B9" w:rsidP="009F12B3">
            <w:pPr>
              <w:spacing w:after="160" w:line="259" w:lineRule="auto"/>
              <w:jc w:val="both"/>
              <w:rPr>
                <w:iCs/>
                <w:lang w:eastAsia="lt-LT"/>
              </w:rPr>
            </w:pPr>
            <w:r w:rsidRPr="000F26A3">
              <w:rPr>
                <w:iCs/>
                <w:lang w:eastAsia="lt-LT"/>
              </w:rPr>
              <w:t>Rizikos R</w:t>
            </w:r>
            <w:r w:rsidRPr="000F26A3">
              <w:rPr>
                <w:iCs/>
                <w:vertAlign w:val="subscript"/>
                <w:lang w:eastAsia="lt-LT"/>
              </w:rPr>
              <w:t>2</w:t>
            </w:r>
            <w:r w:rsidRPr="000F26A3">
              <w:rPr>
                <w:iCs/>
                <w:lang w:eastAsia="lt-LT"/>
              </w:rPr>
              <w:t xml:space="preserve"> galimo (hipotetinio) lygio poveikis (P</w:t>
            </w:r>
            <w:r w:rsidRPr="000F26A3">
              <w:rPr>
                <w:iCs/>
                <w:vertAlign w:val="subscript"/>
                <w:lang w:eastAsia="lt-LT"/>
              </w:rPr>
              <w:t>2</w:t>
            </w:r>
            <w:r w:rsidRPr="000F26A3">
              <w:rPr>
                <w:iCs/>
                <w:lang w:eastAsia="lt-LT"/>
              </w:rPr>
              <w:t>) -  vertinama 3 lygiu (pastebimas lygis), nes atlikus pateiktų poveikio kriterijų, kurie nusako konkrečios rizikos sukeltą arba galimą (hipotetinį) neigiamą poveikį viešojo sektoriaus subjekto veiklai, reputacijai, pasitikėjimui juo, finansinius nuostolius (negautas pajamas)  ir t. t., analizę, nustatyta, kad gali būti patiriama papildomų ir (ar) nenumatytų biudžete finansinių išlaidų, susijusių su rizikų poveikiu (tyrimą, aplinkybių vertinimą atliekančių pareigūnų užmokestis, užsakomos ekspertizės ir pan.).</w:t>
            </w:r>
          </w:p>
          <w:p w14:paraId="761BB576" w14:textId="77777777" w:rsidR="005F08B9" w:rsidRPr="000F26A3" w:rsidRDefault="005F08B9" w:rsidP="009F12B3">
            <w:pPr>
              <w:spacing w:after="160" w:line="259" w:lineRule="auto"/>
              <w:jc w:val="both"/>
              <w:rPr>
                <w:iCs/>
                <w:lang w:eastAsia="lt-LT"/>
              </w:rPr>
            </w:pPr>
            <w:r w:rsidRPr="000F26A3">
              <w:rPr>
                <w:iCs/>
                <w:lang w:eastAsia="lt-LT"/>
              </w:rPr>
              <w:t xml:space="preserve">Rizikos </w:t>
            </w:r>
            <w:r w:rsidRPr="00C82996">
              <w:rPr>
                <w:iCs/>
              </w:rPr>
              <w:t>R</w:t>
            </w:r>
            <w:r w:rsidRPr="00C82996">
              <w:rPr>
                <w:iCs/>
                <w:vertAlign w:val="subscript"/>
              </w:rPr>
              <w:t>1</w:t>
            </w:r>
            <w:r w:rsidRPr="000F26A3">
              <w:rPr>
                <w:iCs/>
                <w:lang w:eastAsia="lt-LT"/>
              </w:rPr>
              <w:t xml:space="preserve"> Tikimybė (T</w:t>
            </w:r>
            <w:r w:rsidRPr="000F26A3">
              <w:rPr>
                <w:iCs/>
                <w:vertAlign w:val="subscript"/>
                <w:lang w:eastAsia="lt-LT"/>
              </w:rPr>
              <w:t>1</w:t>
            </w:r>
            <w:r w:rsidRPr="000F26A3">
              <w:rPr>
                <w:iCs/>
                <w:lang w:eastAsia="lt-LT"/>
              </w:rPr>
              <w:t>) vertinama 1 lygiu (labai žemas), nes analizuojamu laikotarpiu Turto banko veiklos srityje nebuvo nustatyta galimų interesų konfliktų, kas atitinka situaciją, kai „yra  0 atvejų per metus subjektuose, kuriuose dirba nuo 1 iki 1 000 darbuotojų“.</w:t>
            </w:r>
          </w:p>
          <w:p w14:paraId="200D6EDF" w14:textId="77777777" w:rsidR="005F08B9" w:rsidRPr="00C82996" w:rsidRDefault="005F08B9" w:rsidP="006908F2">
            <w:pPr>
              <w:spacing w:after="160" w:line="259" w:lineRule="auto"/>
              <w:jc w:val="both"/>
              <w:rPr>
                <w:b/>
                <w:bCs/>
                <w:i/>
                <w:vertAlign w:val="subscript"/>
              </w:rPr>
            </w:pPr>
            <w:r w:rsidRPr="000F26A3">
              <w:t>Papildomi duomenys ir (ar) informacija, kodėl skirti tokie tikimybės ir poveikio balai yra pateikiami šios išvados  1 priedo 8 punkte.</w:t>
            </w:r>
            <w:r w:rsidRPr="00C82996">
              <w:rPr>
                <w:b/>
                <w:bCs/>
                <w:i/>
                <w:vertAlign w:val="subscript"/>
              </w:rPr>
              <w:t xml:space="preserve"> </w:t>
            </w:r>
          </w:p>
        </w:tc>
      </w:tr>
      <w:tr w:rsidR="005F08B9" w:rsidRPr="004A3362" w14:paraId="6655E299" w14:textId="77777777" w:rsidTr="00FA7102">
        <w:trPr>
          <w:trHeight w:val="225"/>
        </w:trPr>
        <w:tc>
          <w:tcPr>
            <w:tcW w:w="10207" w:type="dxa"/>
            <w:gridSpan w:val="2"/>
            <w:tcBorders>
              <w:right w:val="single" w:sz="4" w:space="0" w:color="auto"/>
            </w:tcBorders>
          </w:tcPr>
          <w:p w14:paraId="7F2916A0" w14:textId="77777777" w:rsidR="005F08B9" w:rsidRPr="000F26A3" w:rsidRDefault="005F08B9" w:rsidP="00494432">
            <w:pPr>
              <w:tabs>
                <w:tab w:val="left" w:pos="851"/>
              </w:tabs>
              <w:jc w:val="center"/>
              <w:rPr>
                <w:b/>
              </w:rPr>
            </w:pPr>
            <w:r w:rsidRPr="000F26A3">
              <w:rPr>
                <w:b/>
              </w:rPr>
              <w:t>Kita informacija</w:t>
            </w:r>
          </w:p>
        </w:tc>
      </w:tr>
      <w:tr w:rsidR="005F08B9" w:rsidRPr="004A3362" w14:paraId="06AA2CCF" w14:textId="77777777" w:rsidTr="00FA7102">
        <w:trPr>
          <w:trHeight w:val="487"/>
        </w:trPr>
        <w:tc>
          <w:tcPr>
            <w:tcW w:w="4962" w:type="dxa"/>
          </w:tcPr>
          <w:p w14:paraId="07E2E5C5" w14:textId="77777777" w:rsidR="005F08B9" w:rsidRPr="00C82996" w:rsidRDefault="005F08B9" w:rsidP="00EF2B0C">
            <w:pPr>
              <w:rPr>
                <w:b/>
              </w:rPr>
            </w:pPr>
            <w:r w:rsidRPr="00C82996">
              <w:rPr>
                <w:b/>
              </w:rPr>
              <w:t>5. Pasiūlymai dėl nustatytų rizikų mažinimo priemonių taikymo</w:t>
            </w:r>
          </w:p>
          <w:p w14:paraId="26957668" w14:textId="77777777" w:rsidR="005F08B9" w:rsidRPr="00C82996" w:rsidRDefault="005F08B9" w:rsidP="00EF2B0C">
            <w:pPr>
              <w:rPr>
                <w:b/>
              </w:rPr>
            </w:pPr>
          </w:p>
        </w:tc>
        <w:tc>
          <w:tcPr>
            <w:tcW w:w="5245" w:type="dxa"/>
          </w:tcPr>
          <w:p w14:paraId="4EEC4454" w14:textId="77777777" w:rsidR="005F08B9" w:rsidRPr="000F26A3" w:rsidRDefault="005F08B9" w:rsidP="00F1158D">
            <w:pPr>
              <w:pStyle w:val="Sraopastraipa"/>
              <w:ind w:left="0"/>
              <w:jc w:val="both"/>
            </w:pPr>
            <w:r w:rsidRPr="000F26A3">
              <w:t xml:space="preserve">Rizikai </w:t>
            </w:r>
            <w:r w:rsidRPr="000F26A3">
              <w:rPr>
                <w:b/>
                <w:bCs/>
              </w:rPr>
              <w:t>R</w:t>
            </w:r>
            <w:r w:rsidRPr="000F26A3">
              <w:rPr>
                <w:b/>
                <w:bCs/>
                <w:vertAlign w:val="subscript"/>
              </w:rPr>
              <w:t xml:space="preserve">1 </w:t>
            </w:r>
            <w:r w:rsidRPr="000F26A3">
              <w:t>mažinti siūloma:</w:t>
            </w:r>
          </w:p>
          <w:p w14:paraId="59062E78" w14:textId="77777777" w:rsidR="005F08B9" w:rsidRPr="000F26A3" w:rsidRDefault="005F08B9" w:rsidP="009E2D4D">
            <w:pPr>
              <w:pStyle w:val="Sraopastraipa"/>
              <w:ind w:left="0"/>
              <w:jc w:val="both"/>
            </w:pPr>
            <w:r w:rsidRPr="000F26A3">
              <w:t>1. Atsižvelgiant į tai, kad nuo 2024 metų spalio mėnesio Turto banko vadovų komitetui yra pateikiama informacija apie planuojamus sutarčių pakeitimus ir dėl šių jų priimami kolegialūs sprendimai, siūloma vidaus teisės aktais nustatyti kriterijus, pagal kuriuos būtų atrenkami sutarčių pakeitimų projektai kurie yra teikiami svarstymui vadovų komitete.</w:t>
            </w:r>
          </w:p>
          <w:p w14:paraId="5D319745" w14:textId="77777777" w:rsidR="005F08B9" w:rsidRPr="000F26A3" w:rsidRDefault="005F08B9" w:rsidP="009E2D4D">
            <w:pPr>
              <w:pStyle w:val="Sraopastraipa"/>
              <w:ind w:left="0"/>
              <w:jc w:val="both"/>
            </w:pPr>
            <w:r w:rsidRPr="000F26A3">
              <w:t xml:space="preserve">Rizikai </w:t>
            </w:r>
            <w:r w:rsidRPr="000F26A3">
              <w:rPr>
                <w:b/>
                <w:bCs/>
              </w:rPr>
              <w:t>R</w:t>
            </w:r>
            <w:r w:rsidRPr="000F26A3">
              <w:rPr>
                <w:b/>
                <w:bCs/>
                <w:vertAlign w:val="subscript"/>
              </w:rPr>
              <w:t>2</w:t>
            </w:r>
            <w:r w:rsidRPr="000F26A3">
              <w:rPr>
                <w:vertAlign w:val="subscript"/>
              </w:rPr>
              <w:t xml:space="preserve"> </w:t>
            </w:r>
            <w:r w:rsidRPr="000F26A3">
              <w:t>mažinti siūloma:</w:t>
            </w:r>
          </w:p>
          <w:p w14:paraId="52851E90" w14:textId="77777777" w:rsidR="005F08B9" w:rsidRPr="000F26A3" w:rsidRDefault="005F08B9" w:rsidP="00AC693E">
            <w:pPr>
              <w:pStyle w:val="Sraopastraipa"/>
              <w:ind w:left="33"/>
            </w:pPr>
            <w:r w:rsidRPr="000F26A3">
              <w:lastRenderedPageBreak/>
              <w:t>1. Dėl netinkamo sutarčių vykdymo susijusio su CAD ir SUD prievolėmis tiekėjams ar rangovams taikyti baudas ar kitas poveikio priemones;</w:t>
            </w:r>
          </w:p>
          <w:p w14:paraId="57F254C0" w14:textId="77777777" w:rsidR="005F08B9" w:rsidRPr="000F26A3" w:rsidRDefault="005F08B9" w:rsidP="00AC693E">
            <w:pPr>
              <w:pStyle w:val="Sraopastraipa"/>
              <w:ind w:left="33"/>
              <w:jc w:val="both"/>
            </w:pPr>
            <w:r w:rsidRPr="000F26A3">
              <w:t>2. Įvertinti teisines ir technines aplinkybes dėl galimybės sustabdyti mokėjimus pagal sutartį kuomet nėra užtikrinamos sutartyse numatytos prievolės susijusios su CAD IR SUD.</w:t>
            </w:r>
          </w:p>
        </w:tc>
      </w:tr>
      <w:tr w:rsidR="005F08B9" w:rsidRPr="004A3362" w14:paraId="626D6E7D" w14:textId="77777777" w:rsidTr="00FA7102">
        <w:trPr>
          <w:trHeight w:val="487"/>
        </w:trPr>
        <w:tc>
          <w:tcPr>
            <w:tcW w:w="4962" w:type="dxa"/>
          </w:tcPr>
          <w:p w14:paraId="4985B99F" w14:textId="77777777" w:rsidR="005F08B9" w:rsidRPr="00C82996" w:rsidRDefault="005F08B9" w:rsidP="00EF2B0C">
            <w:pPr>
              <w:rPr>
                <w:b/>
              </w:rPr>
            </w:pPr>
            <w:r w:rsidRPr="00C82996">
              <w:rPr>
                <w:b/>
              </w:rPr>
              <w:lastRenderedPageBreak/>
              <w:t>6. Kitos pastabos</w:t>
            </w:r>
          </w:p>
        </w:tc>
        <w:tc>
          <w:tcPr>
            <w:tcW w:w="5245" w:type="dxa"/>
          </w:tcPr>
          <w:p w14:paraId="2A2ED9FC" w14:textId="77777777" w:rsidR="005F08B9" w:rsidRPr="000F26A3" w:rsidRDefault="005F08B9" w:rsidP="00F100A7">
            <w:pPr>
              <w:jc w:val="both"/>
              <w:rPr>
                <w:spacing w:val="-2"/>
              </w:rPr>
            </w:pPr>
            <w:r w:rsidRPr="000F26A3">
              <w:rPr>
                <w:spacing w:val="-2"/>
              </w:rPr>
              <w:t>nėra</w:t>
            </w:r>
          </w:p>
        </w:tc>
      </w:tr>
      <w:tr w:rsidR="005F08B9" w:rsidRPr="004A3362" w14:paraId="0A33F787" w14:textId="77777777" w:rsidTr="00FA7102">
        <w:trPr>
          <w:trHeight w:val="487"/>
        </w:trPr>
        <w:tc>
          <w:tcPr>
            <w:tcW w:w="4962" w:type="dxa"/>
          </w:tcPr>
          <w:p w14:paraId="1B34985D" w14:textId="77777777" w:rsidR="005F08B9" w:rsidRPr="00C82996" w:rsidRDefault="005F08B9" w:rsidP="00EF2B0C">
            <w:pPr>
              <w:rPr>
                <w:b/>
              </w:rPr>
            </w:pPr>
            <w:r w:rsidRPr="00C82996">
              <w:rPr>
                <w:b/>
              </w:rPr>
              <w:t>7. Priedai</w:t>
            </w:r>
          </w:p>
        </w:tc>
        <w:tc>
          <w:tcPr>
            <w:tcW w:w="5245" w:type="dxa"/>
          </w:tcPr>
          <w:p w14:paraId="4BC5F14A" w14:textId="77777777" w:rsidR="005F08B9" w:rsidRPr="000F26A3" w:rsidRDefault="005F08B9" w:rsidP="00EF1FB4">
            <w:pPr>
              <w:widowControl w:val="0"/>
              <w:suppressAutoHyphens/>
              <w:jc w:val="both"/>
              <w:textAlignment w:val="baseline"/>
              <w:rPr>
                <w:bCs/>
                <w:spacing w:val="-2"/>
              </w:rPr>
            </w:pPr>
            <w:r w:rsidRPr="000F26A3">
              <w:t xml:space="preserve">1 priedas - </w:t>
            </w:r>
            <w:r w:rsidRPr="000F26A3">
              <w:rPr>
                <w:bCs/>
                <w:spacing w:val="-2"/>
              </w:rPr>
              <w:t>Informacijos surinkimas ir jos analizė (7 puslapiai);</w:t>
            </w:r>
          </w:p>
          <w:p w14:paraId="03C684FE" w14:textId="77777777" w:rsidR="005F08B9" w:rsidRPr="000F26A3" w:rsidRDefault="005F08B9" w:rsidP="00085B8D">
            <w:pPr>
              <w:jc w:val="both"/>
              <w:rPr>
                <w:b/>
              </w:rPr>
            </w:pPr>
            <w:r w:rsidRPr="000F26A3">
              <w:rPr>
                <w:bCs/>
                <w:spacing w:val="-2"/>
              </w:rPr>
              <w:t xml:space="preserve">2 priedas - </w:t>
            </w:r>
            <w:r w:rsidRPr="000F26A3">
              <w:rPr>
                <w:bCs/>
              </w:rPr>
              <w:t>Su analizuojamos veiklos sritimi susijusių subjektų grupių sąrašas ir jų privačių interesų, didinančių korupcijos pasireiškimo tikimybę, sąrašas (2 puslapiai);</w:t>
            </w:r>
          </w:p>
          <w:p w14:paraId="71E8C755" w14:textId="77777777" w:rsidR="005F08B9" w:rsidRPr="00C82996" w:rsidRDefault="005F08B9" w:rsidP="00F100A7">
            <w:pPr>
              <w:tabs>
                <w:tab w:val="center" w:pos="4819"/>
                <w:tab w:val="right" w:pos="9638"/>
              </w:tabs>
              <w:jc w:val="both"/>
            </w:pPr>
          </w:p>
        </w:tc>
      </w:tr>
      <w:tr w:rsidR="005F08B9" w:rsidRPr="004A3362" w14:paraId="37E9D3B4" w14:textId="77777777" w:rsidTr="00FA7102">
        <w:trPr>
          <w:trHeight w:val="487"/>
        </w:trPr>
        <w:tc>
          <w:tcPr>
            <w:tcW w:w="4962" w:type="dxa"/>
          </w:tcPr>
          <w:p w14:paraId="06AB9C09" w14:textId="77777777" w:rsidR="005F08B9" w:rsidRPr="00C82996" w:rsidRDefault="005F08B9" w:rsidP="00EF2B0C">
            <w:pPr>
              <w:rPr>
                <w:b/>
              </w:rPr>
            </w:pPr>
            <w:r w:rsidRPr="00C82996">
              <w:rPr>
                <w:b/>
              </w:rPr>
              <w:t>Išvadą parengęs asmuo:</w:t>
            </w:r>
          </w:p>
          <w:p w14:paraId="008DBC45" w14:textId="77777777" w:rsidR="005F08B9" w:rsidRPr="00C82996" w:rsidRDefault="005F08B9" w:rsidP="00EF2B0C">
            <w:r w:rsidRPr="00C82996">
              <w:t>(Vardas ir pavardė, pareigos)</w:t>
            </w:r>
          </w:p>
          <w:p w14:paraId="587C62FB" w14:textId="77777777" w:rsidR="005F08B9" w:rsidRPr="00C82996" w:rsidRDefault="005F08B9" w:rsidP="00EF2B0C"/>
        </w:tc>
        <w:tc>
          <w:tcPr>
            <w:tcW w:w="5245" w:type="dxa"/>
          </w:tcPr>
          <w:p w14:paraId="36EE0EB4" w14:textId="77777777" w:rsidR="005F08B9" w:rsidRPr="000F26A3" w:rsidRDefault="005F08B9" w:rsidP="000F26A3">
            <w:pPr>
              <w:pStyle w:val="Sraopastraipa"/>
              <w:ind w:left="0"/>
              <w:jc w:val="both"/>
              <w:rPr>
                <w:iCs/>
              </w:rPr>
            </w:pPr>
            <w:r w:rsidRPr="000F26A3">
              <w:rPr>
                <w:iCs/>
              </w:rPr>
              <w:t xml:space="preserve">Turto banko Saugos ir prevencijos skyriaus vadovas Darius </w:t>
            </w:r>
            <w:proofErr w:type="spellStart"/>
            <w:r w:rsidRPr="000F26A3">
              <w:rPr>
                <w:iCs/>
              </w:rPr>
              <w:t>Zasas</w:t>
            </w:r>
            <w:proofErr w:type="spellEnd"/>
          </w:p>
          <w:p w14:paraId="65B6D453" w14:textId="77777777" w:rsidR="005F08B9" w:rsidRPr="00EF2B0C" w:rsidRDefault="005F08B9" w:rsidP="00EF2B0C">
            <w:pPr>
              <w:pStyle w:val="Sraopastraipa"/>
              <w:ind w:left="0" w:firstLine="360"/>
              <w:jc w:val="center"/>
              <w:rPr>
                <w:i/>
                <w:sz w:val="20"/>
                <w:szCs w:val="20"/>
              </w:rPr>
            </w:pPr>
          </w:p>
          <w:p w14:paraId="31FC5230" w14:textId="77777777" w:rsidR="005F08B9" w:rsidRPr="00EF2B0C" w:rsidRDefault="005F08B9" w:rsidP="00EF2B0C">
            <w:pPr>
              <w:pStyle w:val="Sraopastraipa"/>
              <w:ind w:left="0" w:firstLine="360"/>
              <w:jc w:val="center"/>
              <w:rPr>
                <w:i/>
                <w:sz w:val="20"/>
                <w:szCs w:val="20"/>
              </w:rPr>
            </w:pPr>
          </w:p>
        </w:tc>
      </w:tr>
    </w:tbl>
    <w:p w14:paraId="206B792F" w14:textId="77777777" w:rsidR="005F08B9" w:rsidRDefault="005F08B9" w:rsidP="00185C0E">
      <w:pPr>
        <w:jc w:val="center"/>
      </w:pPr>
      <w:r>
        <w:t>_____________________________</w:t>
      </w:r>
    </w:p>
    <w:p w14:paraId="4FE79560" w14:textId="77777777" w:rsidR="005F08B9" w:rsidRDefault="005F08B9" w:rsidP="008C7C9A">
      <w:pPr>
        <w:rPr>
          <w:b/>
          <w:szCs w:val="20"/>
        </w:rPr>
      </w:pPr>
    </w:p>
    <w:p w14:paraId="025A595F" w14:textId="77777777" w:rsidR="005F08B9" w:rsidRPr="00E04CF7" w:rsidRDefault="005F08B9" w:rsidP="00E04CF7">
      <w:pPr>
        <w:jc w:val="both"/>
        <w:rPr>
          <w:b/>
        </w:rPr>
      </w:pPr>
    </w:p>
    <w:p w14:paraId="5F234EA7" w14:textId="77777777" w:rsidR="005F08B9" w:rsidRPr="00E04CF7" w:rsidRDefault="005F08B9" w:rsidP="00401720">
      <w:pPr>
        <w:widowControl w:val="0"/>
        <w:suppressAutoHyphens/>
        <w:jc w:val="center"/>
        <w:textAlignment w:val="baseline"/>
        <w:rPr>
          <w:b/>
          <w:spacing w:val="-2"/>
        </w:rPr>
      </w:pPr>
      <w:r w:rsidRPr="00E04CF7">
        <w:rPr>
          <w:b/>
          <w:spacing w:val="-2"/>
        </w:rPr>
        <w:t>Informacijos surinkimas ir jos analizė</w:t>
      </w:r>
    </w:p>
    <w:p w14:paraId="688D3EE6" w14:textId="77777777" w:rsidR="005F08B9" w:rsidRPr="00E04CF7" w:rsidRDefault="005F08B9" w:rsidP="00E04CF7">
      <w:pPr>
        <w:widowControl w:val="0"/>
        <w:suppressAutoHyphens/>
        <w:jc w:val="both"/>
        <w:textAlignment w:val="baseline"/>
        <w:rPr>
          <w:b/>
          <w:spacing w:val="-2"/>
        </w:rPr>
      </w:pPr>
    </w:p>
    <w:p w14:paraId="0DB2F36C" w14:textId="77777777" w:rsidR="005F08B9" w:rsidRPr="00E04CF7" w:rsidRDefault="005F08B9" w:rsidP="0035194C">
      <w:pPr>
        <w:widowControl w:val="0"/>
        <w:suppressAutoHyphens/>
        <w:ind w:firstLine="1298"/>
        <w:jc w:val="both"/>
        <w:textAlignment w:val="baseline"/>
      </w:pPr>
      <w:r w:rsidRPr="00E04CF7">
        <w:rPr>
          <w:bCs/>
          <w:spacing w:val="-2"/>
        </w:rPr>
        <w:t xml:space="preserve">Atliekant korupcijos pasireiškimo tikimybės nustatymą </w:t>
      </w:r>
      <w:r>
        <w:rPr>
          <w:bCs/>
          <w:spacing w:val="-2"/>
        </w:rPr>
        <w:t xml:space="preserve">(toliau KPT nustatymas) </w:t>
      </w:r>
      <w:r w:rsidRPr="00E04CF7">
        <w:rPr>
          <w:bCs/>
          <w:spacing w:val="-2"/>
        </w:rPr>
        <w:t xml:space="preserve">- </w:t>
      </w:r>
      <w:r w:rsidRPr="00E04CF7">
        <w:t xml:space="preserve">Valstybės įmonės Turto banko veiklos srityje – </w:t>
      </w:r>
      <w:r w:rsidRPr="00932413">
        <w:rPr>
          <w:b/>
          <w:bCs/>
        </w:rPr>
        <w:t>viešųjų pirkimų metu sudarytų sutarčių vykdymo priežiūra</w:t>
      </w:r>
      <w:r w:rsidRPr="00E04CF7">
        <w:rPr>
          <w:b/>
          <w:bCs/>
        </w:rPr>
        <w:t xml:space="preserve"> </w:t>
      </w:r>
      <w:r w:rsidRPr="00736D33">
        <w:t>(toliau – Analizuojama veiklos sritis)</w:t>
      </w:r>
      <w:r>
        <w:rPr>
          <w:b/>
          <w:bCs/>
        </w:rPr>
        <w:t xml:space="preserve"> </w:t>
      </w:r>
      <w:r w:rsidRPr="00E04CF7">
        <w:t>buvo analizuota aktuali (202</w:t>
      </w:r>
      <w:r>
        <w:t>4</w:t>
      </w:r>
      <w:r w:rsidRPr="00E04CF7">
        <w:t xml:space="preserve"> </w:t>
      </w:r>
      <w:r>
        <w:t>spalio</w:t>
      </w:r>
      <w:r w:rsidRPr="00E04CF7">
        <w:t xml:space="preserve"> </w:t>
      </w:r>
      <w:r>
        <w:t>10</w:t>
      </w:r>
      <w:r w:rsidRPr="00E04CF7">
        <w:t xml:space="preserve"> d. ) situacija bei sprendimų priėmimai nuo  202</w:t>
      </w:r>
      <w:r>
        <w:t>3</w:t>
      </w:r>
      <w:r w:rsidRPr="00E04CF7">
        <w:t xml:space="preserve"> m. sausio mėn. 1 d. iki  202</w:t>
      </w:r>
      <w:r>
        <w:t>4</w:t>
      </w:r>
      <w:r w:rsidRPr="00E04CF7">
        <w:t xml:space="preserve"> m. </w:t>
      </w:r>
      <w:r>
        <w:t>spalio</w:t>
      </w:r>
      <w:r w:rsidRPr="00E04CF7">
        <w:t xml:space="preserve"> </w:t>
      </w:r>
      <w:r>
        <w:t>1</w:t>
      </w:r>
      <w:r w:rsidRPr="00E04CF7">
        <w:t>0</w:t>
      </w:r>
      <w:r>
        <w:t xml:space="preserve"> d.</w:t>
      </w:r>
      <w:r w:rsidRPr="00E04CF7">
        <w:t>.</w:t>
      </w:r>
    </w:p>
    <w:p w14:paraId="25311EFF" w14:textId="77777777" w:rsidR="005F08B9" w:rsidRPr="00E04CF7" w:rsidRDefault="005F08B9" w:rsidP="0035194C">
      <w:pPr>
        <w:widowControl w:val="0"/>
        <w:suppressAutoHyphens/>
        <w:ind w:firstLine="1298"/>
        <w:jc w:val="both"/>
        <w:textAlignment w:val="baseline"/>
        <w:rPr>
          <w:bCs/>
          <w:spacing w:val="-2"/>
        </w:rPr>
      </w:pPr>
      <w:r w:rsidRPr="00E04CF7">
        <w:rPr>
          <w:bCs/>
          <w:spacing w:val="-2"/>
        </w:rPr>
        <w:t>Siekiant nustatyti viešojo aktualias analizuojamos veiklos srities rizikas buvo surinkta ir apibendrinta ši informacija:</w:t>
      </w:r>
    </w:p>
    <w:p w14:paraId="687EEF48" w14:textId="77777777" w:rsidR="005F08B9" w:rsidRPr="00E04CF7" w:rsidRDefault="005F08B9" w:rsidP="0035194C">
      <w:pPr>
        <w:ind w:firstLine="1298"/>
        <w:jc w:val="both"/>
      </w:pPr>
      <w:r w:rsidRPr="009632AF">
        <w:rPr>
          <w:b/>
          <w:bCs/>
        </w:rPr>
        <w:t>1</w:t>
      </w:r>
      <w:r w:rsidRPr="00E04CF7">
        <w:t>. Analizuojamu laikotarpiu negauta informacijos apie Turto banko darbuotojų padarytas korupcinio pobūdžio nusikalstamas veikas  arba korupcinio pobūdžio teisės pažeidimus bei  negauta informacijos apie užfiksuotus Korupcijos prevencijos įstatymo   2 straipsnio 9 ir 10 dalyse nurodytų korupcinio pobūdžio nusikalstamų veikų ir korupcinio pobūdžio teisės pažeidimų atvejus, neatsižvelgiant į minėtų veikų tyrimo proceso (ikiteisminio tyrimo, administracinio nusižengimo bylos nagrinėjimo ar tarnybinio nusižengimo tyrimo) etapą.</w:t>
      </w:r>
      <w:r>
        <w:t xml:space="preserve"> </w:t>
      </w:r>
      <w:r w:rsidRPr="006318AC">
        <w:t>2024-06-12</w:t>
      </w:r>
      <w:r>
        <w:t xml:space="preserve"> iš Lietuvos Respublikos generalinės prokuratūros buvo gautas paklausimas Nr. </w:t>
      </w:r>
      <w:r w:rsidRPr="00694A64">
        <w:t>SK3-15014</w:t>
      </w:r>
      <w:r>
        <w:t xml:space="preserve"> „</w:t>
      </w:r>
      <w:r w:rsidRPr="00674B91">
        <w:t>Dėl informacijos suteikimo (Reabilitacijos centras Trakuose, Karaimų 73A)</w:t>
      </w:r>
      <w:r>
        <w:t>“  kuriame be kita ko informuojama, kad 2023-10-11 Lietuvos Respublikos Generalinėje prokuratūroje gautas pareiškimas Dėl svarbaus viešojo intereso gynimo, kuriame buvo prašoma pradėti ikiteisminį tyrimą dėl galimų pažeidimų atliekant VRM reabilitacinio centro, esančio Trakuose Karaimų g. 73A, rekonstrukciją, 2023-10-31 Specialiųjų tyrimų tarnyboje buvo priimtas nutarimas atsisakyti pradėti ikiteisminį tyrimą.</w:t>
      </w:r>
    </w:p>
    <w:p w14:paraId="68AE8468" w14:textId="77777777" w:rsidR="005F08B9" w:rsidRDefault="005F08B9" w:rsidP="0035194C">
      <w:pPr>
        <w:ind w:firstLine="1298"/>
        <w:jc w:val="both"/>
      </w:pPr>
      <w:r w:rsidRPr="009632AF">
        <w:rPr>
          <w:b/>
          <w:bCs/>
        </w:rPr>
        <w:t>2.</w:t>
      </w:r>
      <w:r w:rsidRPr="00E04CF7">
        <w:t xml:space="preserve"> Analizuojant informaciją apie gautus skundus, pranešimus, pareiškimus dėl Turto banko darbuotojų atliktų veiksmų ir (ar) priimtų sprendimų analizuojamoje veiklos srityje nustatyta, kad</w:t>
      </w:r>
      <w:r>
        <w:t>:</w:t>
      </w:r>
    </w:p>
    <w:p w14:paraId="0A1A6F2A" w14:textId="77777777" w:rsidR="005F08B9" w:rsidRDefault="005F08B9" w:rsidP="0035194C">
      <w:pPr>
        <w:ind w:firstLine="1298"/>
        <w:jc w:val="both"/>
      </w:pPr>
      <w:r w:rsidRPr="0066390B">
        <w:rPr>
          <w:b/>
          <w:bCs/>
        </w:rPr>
        <w:lastRenderedPageBreak/>
        <w:t>2.1.</w:t>
      </w:r>
      <w:r>
        <w:t xml:space="preserve"> </w:t>
      </w:r>
      <w:r w:rsidRPr="007256A3">
        <w:t>2024-01-31</w:t>
      </w:r>
      <w:r>
        <w:t xml:space="preserve"> </w:t>
      </w:r>
      <w:r w:rsidRPr="007256A3">
        <w:t>buvo gautas</w:t>
      </w:r>
      <w:r w:rsidRPr="00A0054C">
        <w:t xml:space="preserve"> Jungtiniai projektai, UAB</w:t>
      </w:r>
      <w:r>
        <w:t xml:space="preserve"> raštas Nr. </w:t>
      </w:r>
      <w:r w:rsidRPr="007941D6">
        <w:t>SK3-2735</w:t>
      </w:r>
      <w:r>
        <w:t xml:space="preserve"> „D</w:t>
      </w:r>
      <w:r w:rsidRPr="00003661">
        <w:t>ėl pažeidimų vykdant Vilniaus miesto 5-ojo policijos komisariato ir kelių policijos pastato, Vilniuje, Sietyno g. 24 rangos darbų ir darbo projekto viešojo pirkimo sutartį</w:t>
      </w:r>
      <w:r>
        <w:t xml:space="preserve">“  kuriame reiškiamos pretenzijos dėl sutarčių pakeitimų nesavalaikio paviešinimo ir Pradinės Sutarties vertė padidėjimo (vertė  tapo beveik 12 procentų didesnė nei pradinė Sutarties vertė). </w:t>
      </w:r>
    </w:p>
    <w:p w14:paraId="33274885" w14:textId="77777777" w:rsidR="005F08B9" w:rsidRDefault="005F08B9" w:rsidP="0035194C">
      <w:pPr>
        <w:ind w:firstLine="1298"/>
        <w:jc w:val="both"/>
      </w:pPr>
      <w:r w:rsidRPr="007256A3">
        <w:t>2024-0</w:t>
      </w:r>
      <w:r>
        <w:t>2</w:t>
      </w:r>
      <w:r w:rsidRPr="007256A3">
        <w:t>-1</w:t>
      </w:r>
      <w:r>
        <w:t xml:space="preserve">5 </w:t>
      </w:r>
      <w:r w:rsidRPr="007256A3">
        <w:t>buvo gautas</w:t>
      </w:r>
      <w:r w:rsidRPr="00A0054C">
        <w:t xml:space="preserve"> Jungtiniai projektai, UAB</w:t>
      </w:r>
      <w:r>
        <w:t xml:space="preserve"> papildomas raštas Nr. </w:t>
      </w:r>
      <w:r w:rsidRPr="007941D6">
        <w:t>SK3-</w:t>
      </w:r>
      <w:r>
        <w:t xml:space="preserve">4242, ,, </w:t>
      </w:r>
      <w:r w:rsidRPr="00FF7AA4">
        <w:t>Dėl naujai paaiškėjusių aplinkybių ir pažeidimų vykdant Vilniaus miesto 5-ojo policijos komisariato ir Kelių policijos pastato, Vilniuje, Sietyno g. 24 rangos darbų ir darbo projekto viešojo pirkimo sutartį</w:t>
      </w:r>
      <w:r>
        <w:t>“ kuriame reiškiamos pretenzijos dėl minėto pirkimo sutarties pakeitimo kuris buvo įformintas susitarimu Nr. 1.;</w:t>
      </w:r>
    </w:p>
    <w:p w14:paraId="0515DAE1" w14:textId="77777777" w:rsidR="005F08B9" w:rsidRDefault="005F08B9" w:rsidP="0035194C">
      <w:pPr>
        <w:ind w:firstLine="1298"/>
        <w:jc w:val="both"/>
      </w:pPr>
      <w:r w:rsidRPr="00DF4C06">
        <w:rPr>
          <w:b/>
          <w:bCs/>
        </w:rPr>
        <w:t>2.2.</w:t>
      </w:r>
      <w:r>
        <w:t xml:space="preserve"> 2023-09-28 buvo gautas </w:t>
      </w:r>
      <w:r w:rsidRPr="003C749C">
        <w:t>Vilniaus apskrities ikiteisminio tyrimo įstaigų profesinė sąjung</w:t>
      </w:r>
      <w:r>
        <w:t xml:space="preserve">os raštas Nr. </w:t>
      </w:r>
      <w:r w:rsidRPr="0039220F">
        <w:t>SK3-24118</w:t>
      </w:r>
      <w:r>
        <w:t xml:space="preserve">  „</w:t>
      </w:r>
      <w:r w:rsidRPr="00076A3F">
        <w:t>Dėl Medicinos centro Trakų filialo (Karaimų g. 73A, Trakai)</w:t>
      </w:r>
      <w:r>
        <w:t xml:space="preserve">“ kuriame prašoma pasiaiškinti dėl kokios priežasties buvo sustabdyti Medicinos centro Trakų filialo rekonstrukcijos darbai bei  prašoma informuoti dėl darbų baigimo ir objekto perdavimo laiko. </w:t>
      </w:r>
    </w:p>
    <w:p w14:paraId="327AA4EF" w14:textId="77777777" w:rsidR="005F08B9" w:rsidRDefault="005F08B9" w:rsidP="0035194C">
      <w:pPr>
        <w:ind w:firstLine="1298"/>
        <w:jc w:val="both"/>
      </w:pPr>
      <w:r w:rsidRPr="009032C0">
        <w:t>2024-09-17</w:t>
      </w:r>
      <w:r>
        <w:t xml:space="preserve"> iš Lietuvos teisėsaugos pareigūnų federacijos buvo gautas raštas Nr. </w:t>
      </w:r>
      <w:r w:rsidRPr="007D2F7A">
        <w:t>SK3-22738</w:t>
      </w:r>
      <w:r>
        <w:t xml:space="preserve"> „</w:t>
      </w:r>
      <w:r w:rsidRPr="006E3AF5">
        <w:t>Dėl Trakų reabilitacijos centro</w:t>
      </w:r>
      <w:r>
        <w:t xml:space="preserve">“  kuris taip pat buvo adresuotas Lietuvos Respublikos vyriausybei bei Lietuvos Respublikos vidaus reikalų ministerijai. Rašte teigiama, kad Trakų reabilitacijos centro klausimas metai iš metų vilkinamas ir natūraliai kyla klausimas, ar tai daroma tikslingai, kyla įtarimas dėl galimų korupcijos apraiškų. Rašte prašoma pateikti informaciją dėl rekonstrukcijos eigos bei darbų pabaigos. Dėl šio kreipimosi 2024-09-23 buvo gautas Lietuvos Respublikos vidaus reikalų ministerijos paklausimas Nr. SK3-23330 bei </w:t>
      </w:r>
      <w:r w:rsidRPr="00A519F4">
        <w:t>Lietuvos Respublikos Vyriausybės kanceliarij</w:t>
      </w:r>
      <w:r>
        <w:t>os 2024-10-11 paklausimas Nr. S</w:t>
      </w:r>
      <w:r w:rsidRPr="00730382">
        <w:t>K3-24906</w:t>
      </w:r>
      <w:r>
        <w:t xml:space="preserve">; </w:t>
      </w:r>
    </w:p>
    <w:p w14:paraId="26162B55" w14:textId="77777777" w:rsidR="005F08B9" w:rsidRDefault="005F08B9" w:rsidP="0035194C">
      <w:pPr>
        <w:ind w:firstLine="1298"/>
        <w:jc w:val="both"/>
      </w:pPr>
      <w:r w:rsidRPr="00FF1681">
        <w:rPr>
          <w:b/>
          <w:bCs/>
        </w:rPr>
        <w:t>2.3.</w:t>
      </w:r>
      <w:r>
        <w:t xml:space="preserve"> Turto banko dokumentų valdymo sistemoje Kontora (toliau – DVS Kontora) registre </w:t>
      </w:r>
      <w:r w:rsidRPr="006E2AC7">
        <w:t>[GSP] - Gautų skundų, pretenzijų registras</w:t>
      </w:r>
      <w:r>
        <w:t>, analizuojamu laikotarpiu užregistruota 19 dokumentų iš kurių tik 2 dokumentai susiję su analizuojama veiklos sritimi, t</w:t>
      </w:r>
      <w:r w:rsidRPr="002B5D95">
        <w:t xml:space="preserve">ačiau šios pretenzijos </w:t>
      </w:r>
      <w:r>
        <w:t>nėra susijusios</w:t>
      </w:r>
      <w:r w:rsidRPr="002B5D95">
        <w:t xml:space="preserve"> su galimais korupcijos pasireiškimo rizikos veiksniais ar netinkamais Turto banko darbuotojų veiksmais</w:t>
      </w:r>
      <w:r>
        <w:t>:</w:t>
      </w:r>
    </w:p>
    <w:p w14:paraId="3B8932CC" w14:textId="77777777" w:rsidR="005F08B9" w:rsidRDefault="005F08B9" w:rsidP="0035194C">
      <w:pPr>
        <w:ind w:firstLine="1298"/>
        <w:jc w:val="both"/>
      </w:pPr>
      <w:r w:rsidRPr="003A550A">
        <w:t>2024-10-04</w:t>
      </w:r>
      <w:r>
        <w:t xml:space="preserve"> Nr. GPS15 iš</w:t>
      </w:r>
      <w:r w:rsidRPr="00C44572">
        <w:t xml:space="preserve"> Valstybinė miškų tarnyb</w:t>
      </w:r>
      <w:r>
        <w:t xml:space="preserve">os gauta </w:t>
      </w:r>
      <w:r w:rsidRPr="00700C65">
        <w:t>Pretenzija dėl nesuteiktų valymo paslaugų</w:t>
      </w:r>
      <w:r>
        <w:t>;</w:t>
      </w:r>
    </w:p>
    <w:p w14:paraId="196E8A90" w14:textId="77777777" w:rsidR="005F08B9" w:rsidRDefault="005F08B9" w:rsidP="0035194C">
      <w:pPr>
        <w:ind w:firstLine="1298"/>
        <w:jc w:val="both"/>
      </w:pPr>
      <w:r w:rsidRPr="003A550A">
        <w:t>2024-</w:t>
      </w:r>
      <w:r>
        <w:t>09</w:t>
      </w:r>
      <w:r w:rsidRPr="003A550A">
        <w:t>-</w:t>
      </w:r>
      <w:r>
        <w:t>26 Nr. GPS14 iš</w:t>
      </w:r>
      <w:r w:rsidRPr="00C44572">
        <w:t xml:space="preserve"> </w:t>
      </w:r>
      <w:r w:rsidRPr="007F4A6E">
        <w:t>Užimtumo tarnyb</w:t>
      </w:r>
      <w:r>
        <w:t>os</w:t>
      </w:r>
      <w:r w:rsidRPr="007F4A6E">
        <w:t xml:space="preserve"> prie Socialinės apsaugos ir darbo ministerijos</w:t>
      </w:r>
      <w:r>
        <w:t xml:space="preserve"> gauta </w:t>
      </w:r>
      <w:r w:rsidRPr="00700C65">
        <w:t xml:space="preserve">Pretenzija </w:t>
      </w:r>
      <w:r w:rsidRPr="001557FC">
        <w:t>Dėl netinkamo L. Asanavičiūtės g. 23, Vilnius pastato administravimo ir priežiūro</w:t>
      </w:r>
      <w:r>
        <w:t>s;</w:t>
      </w:r>
    </w:p>
    <w:p w14:paraId="40C6709B" w14:textId="77777777" w:rsidR="005F08B9" w:rsidRDefault="005F08B9" w:rsidP="0035194C">
      <w:pPr>
        <w:ind w:firstLine="1298"/>
        <w:jc w:val="both"/>
      </w:pPr>
      <w:r w:rsidRPr="00E04CF7">
        <w:t>Daugiau informacijos apie  gautus skundus, pranešimus, pareiškimus analizuojamoje veiklos srityje nenustatyta</w:t>
      </w:r>
      <w:r>
        <w:t>.</w:t>
      </w:r>
    </w:p>
    <w:p w14:paraId="17DAD04A" w14:textId="77777777" w:rsidR="005F08B9" w:rsidRDefault="005F08B9" w:rsidP="0035194C">
      <w:pPr>
        <w:ind w:firstLine="1298"/>
        <w:jc w:val="both"/>
      </w:pPr>
      <w:r w:rsidRPr="00B91047">
        <w:rPr>
          <w:b/>
          <w:bCs/>
        </w:rPr>
        <w:t>3.</w:t>
      </w:r>
      <w:r w:rsidRPr="00E04CF7">
        <w:t xml:space="preserve"> </w:t>
      </w:r>
      <w:r>
        <w:t>Analizuojamu laikotarpiu (ar ankščiau) Lietuvos Respublikos specialiųjų tyrimų tarnyba (toliau – STT) nėra atlikusi Analizuojamos Turto banko veiklos srities</w:t>
      </w:r>
      <w:r w:rsidRPr="00A859B0">
        <w:t xml:space="preserve"> korupcijos rizikos analiz</w:t>
      </w:r>
      <w:r>
        <w:t>ė</w:t>
      </w:r>
      <w:r w:rsidRPr="00A859B0">
        <w:t xml:space="preserve">s </w:t>
      </w:r>
      <w:r>
        <w:t>a</w:t>
      </w:r>
      <w:r w:rsidRPr="00A859B0">
        <w:t>r pateik</w:t>
      </w:r>
      <w:r>
        <w:t>usi</w:t>
      </w:r>
      <w:r w:rsidRPr="00A859B0">
        <w:t xml:space="preserve">  kritin</w:t>
      </w:r>
      <w:r>
        <w:t>ių</w:t>
      </w:r>
      <w:r w:rsidRPr="00A859B0">
        <w:t xml:space="preserve"> ir kit</w:t>
      </w:r>
      <w:r>
        <w:t>ų</w:t>
      </w:r>
      <w:r w:rsidRPr="00A859B0">
        <w:t xml:space="preserve"> antikorupcin</w:t>
      </w:r>
      <w:r>
        <w:t>ių</w:t>
      </w:r>
      <w:r w:rsidRPr="00A859B0">
        <w:t xml:space="preserve"> pastab</w:t>
      </w:r>
      <w:r>
        <w:t>ų</w:t>
      </w:r>
      <w:r w:rsidRPr="00A859B0">
        <w:t xml:space="preserve"> ir pasiūlym</w:t>
      </w:r>
      <w:r>
        <w:t>ų</w:t>
      </w:r>
      <w:r w:rsidRPr="00A859B0">
        <w:t>.</w:t>
      </w:r>
    </w:p>
    <w:p w14:paraId="40756287" w14:textId="77777777" w:rsidR="005F08B9" w:rsidRDefault="005F08B9" w:rsidP="0035194C">
      <w:pPr>
        <w:ind w:firstLine="1298"/>
        <w:jc w:val="both"/>
      </w:pPr>
      <w:r w:rsidRPr="002B7AAF">
        <w:rPr>
          <w:b/>
          <w:bCs/>
        </w:rPr>
        <w:t>4</w:t>
      </w:r>
      <w:r w:rsidRPr="00E04CF7">
        <w:t xml:space="preserve">. </w:t>
      </w:r>
      <w:r>
        <w:t>A</w:t>
      </w:r>
      <w:r w:rsidRPr="00E04CF7">
        <w:t xml:space="preserve">nalizuojamu laikotarpiu </w:t>
      </w:r>
      <w:r>
        <w:t xml:space="preserve">negauta informacijos apie </w:t>
      </w:r>
      <w:r w:rsidRPr="00E04CF7">
        <w:t xml:space="preserve"> atliktus teisės aktų, </w:t>
      </w:r>
      <w:r>
        <w:t xml:space="preserve">tiesiogiai </w:t>
      </w:r>
      <w:r w:rsidRPr="00E04CF7">
        <w:t xml:space="preserve">reglamentuojančių </w:t>
      </w:r>
      <w:r>
        <w:t>nagrinėjamą</w:t>
      </w:r>
      <w:r w:rsidRPr="00E04CF7">
        <w:t xml:space="preserve"> veiklą, antikorupcinius vertinimus.</w:t>
      </w:r>
      <w:r>
        <w:t xml:space="preserve"> </w:t>
      </w:r>
    </w:p>
    <w:p w14:paraId="72519EFF" w14:textId="77777777" w:rsidR="005F08B9" w:rsidRPr="00E04CF7" w:rsidRDefault="005F08B9" w:rsidP="0035194C">
      <w:pPr>
        <w:ind w:firstLine="1298"/>
        <w:jc w:val="both"/>
      </w:pPr>
      <w:r>
        <w:t>2023-07-12 STT yra pateikusi</w:t>
      </w:r>
      <w:r w:rsidRPr="001C1864">
        <w:t xml:space="preserve"> Antikorupcinio vertinimo</w:t>
      </w:r>
      <w:r>
        <w:t xml:space="preserve"> </w:t>
      </w:r>
      <w:hyperlink r:id="rId5" w:history="1">
        <w:r>
          <w:rPr>
            <w:rStyle w:val="Hipersaitas"/>
          </w:rPr>
          <w:t>išvadą</w:t>
        </w:r>
      </w:hyperlink>
      <w:r>
        <w:t xml:space="preserve"> Nr.</w:t>
      </w:r>
      <w:r w:rsidRPr="001D6003">
        <w:rPr>
          <w:rFonts w:ascii="Tahoma" w:hAnsi="Tahoma" w:cs="Tahoma"/>
          <w:color w:val="000000"/>
          <w:sz w:val="18"/>
          <w:szCs w:val="18"/>
          <w:shd w:val="clear" w:color="auto" w:fill="FFFFFF"/>
        </w:rPr>
        <w:t xml:space="preserve"> </w:t>
      </w:r>
      <w:r w:rsidRPr="001D6003">
        <w:t>4-01-5893 </w:t>
      </w:r>
      <w:r>
        <w:t xml:space="preserve"> </w:t>
      </w:r>
      <w:r w:rsidRPr="001C1864">
        <w:t>dėl tiekėjų įtraukimo į nepatikimų tiekėjų sąrašą teisinio reglamentavimo</w:t>
      </w:r>
      <w:r>
        <w:t xml:space="preserve">, tačiau reikšmingos informacijos galinčios padėti identifikuoti </w:t>
      </w:r>
      <w:r w:rsidRPr="00E04CF7">
        <w:rPr>
          <w:bCs/>
          <w:spacing w:val="-2"/>
        </w:rPr>
        <w:t>analizuojamos veiklos srities rizikas</w:t>
      </w:r>
      <w:r>
        <w:rPr>
          <w:bCs/>
          <w:spacing w:val="-2"/>
        </w:rPr>
        <w:t xml:space="preserve"> nenustatyta.</w:t>
      </w:r>
    </w:p>
    <w:p w14:paraId="404D8131" w14:textId="77777777" w:rsidR="005F08B9" w:rsidRDefault="005F08B9" w:rsidP="0035194C">
      <w:pPr>
        <w:ind w:firstLine="1298"/>
        <w:jc w:val="both"/>
        <w:rPr>
          <w:color w:val="000000"/>
          <w:lang w:eastAsia="lt-LT"/>
        </w:rPr>
      </w:pPr>
      <w:r w:rsidRPr="00AC11E6">
        <w:rPr>
          <w:b/>
          <w:bCs/>
          <w:color w:val="000000"/>
          <w:lang w:eastAsia="lt-LT"/>
        </w:rPr>
        <w:t>5.</w:t>
      </w:r>
      <w:r>
        <w:rPr>
          <w:color w:val="000000"/>
          <w:lang w:eastAsia="lt-LT"/>
        </w:rPr>
        <w:t xml:space="preserve"> Analizės metu buvo peržiūrėta Analizuojamu laikotarpiu gauta informacija</w:t>
      </w:r>
      <w:r w:rsidRPr="00E04CF7">
        <w:rPr>
          <w:color w:val="000000"/>
          <w:lang w:eastAsia="lt-LT"/>
        </w:rPr>
        <w:t xml:space="preserve"> </w:t>
      </w:r>
      <w:r>
        <w:rPr>
          <w:color w:val="000000"/>
          <w:lang w:eastAsia="lt-LT"/>
        </w:rPr>
        <w:t>a</w:t>
      </w:r>
      <w:r w:rsidRPr="00E04CF7">
        <w:rPr>
          <w:color w:val="000000"/>
          <w:lang w:eastAsia="lt-LT"/>
        </w:rPr>
        <w:t xml:space="preserve">pie Valstybės kontrolės, Seimo kontrolierių, kitų kontrolės ar priežiūros institucijų arba </w:t>
      </w:r>
      <w:r>
        <w:rPr>
          <w:color w:val="000000"/>
          <w:lang w:eastAsia="lt-LT"/>
        </w:rPr>
        <w:t>Turto banke atliktus</w:t>
      </w:r>
      <w:r w:rsidRPr="00E04CF7">
        <w:rPr>
          <w:color w:val="000000"/>
          <w:lang w:eastAsia="lt-LT"/>
        </w:rPr>
        <w:t xml:space="preserve"> </w:t>
      </w:r>
      <w:r w:rsidRPr="00E04CF7">
        <w:rPr>
          <w:color w:val="000000"/>
          <w:lang w:eastAsia="lt-LT"/>
        </w:rPr>
        <w:lastRenderedPageBreak/>
        <w:t xml:space="preserve">vidaus patikrinimus, audito išvadas, </w:t>
      </w:r>
      <w:r>
        <w:rPr>
          <w:color w:val="000000"/>
          <w:lang w:eastAsia="lt-LT"/>
        </w:rPr>
        <w:t xml:space="preserve">bei įvertinta ar </w:t>
      </w:r>
      <w:r w:rsidRPr="00E04CF7">
        <w:rPr>
          <w:color w:val="000000"/>
          <w:lang w:eastAsia="lt-LT"/>
        </w:rPr>
        <w:t xml:space="preserve">jų metu </w:t>
      </w:r>
      <w:r>
        <w:rPr>
          <w:color w:val="000000"/>
          <w:lang w:eastAsia="lt-LT"/>
        </w:rPr>
        <w:t xml:space="preserve">nebuvo </w:t>
      </w:r>
      <w:r w:rsidRPr="00E04CF7">
        <w:rPr>
          <w:color w:val="000000"/>
          <w:lang w:eastAsia="lt-LT"/>
        </w:rPr>
        <w:t>nustatyt</w:t>
      </w:r>
      <w:r>
        <w:rPr>
          <w:color w:val="000000"/>
          <w:lang w:eastAsia="lt-LT"/>
        </w:rPr>
        <w:t xml:space="preserve">i analizuojamos </w:t>
      </w:r>
      <w:r w:rsidRPr="00E04CF7">
        <w:rPr>
          <w:color w:val="000000"/>
          <w:lang w:eastAsia="lt-LT"/>
        </w:rPr>
        <w:t>veiklos</w:t>
      </w:r>
      <w:r>
        <w:rPr>
          <w:color w:val="000000"/>
          <w:lang w:eastAsia="lt-LT"/>
        </w:rPr>
        <w:t xml:space="preserve"> srities </w:t>
      </w:r>
      <w:r w:rsidRPr="00E04CF7">
        <w:rPr>
          <w:color w:val="000000"/>
          <w:lang w:eastAsia="lt-LT"/>
        </w:rPr>
        <w:t xml:space="preserve"> pažeidim</w:t>
      </w:r>
      <w:r>
        <w:rPr>
          <w:color w:val="000000"/>
          <w:lang w:eastAsia="lt-LT"/>
        </w:rPr>
        <w:t>ai</w:t>
      </w:r>
      <w:r w:rsidRPr="00E04CF7">
        <w:rPr>
          <w:color w:val="000000"/>
          <w:lang w:eastAsia="lt-LT"/>
        </w:rPr>
        <w:t>.</w:t>
      </w:r>
    </w:p>
    <w:p w14:paraId="786205A5" w14:textId="77777777" w:rsidR="005F08B9" w:rsidRDefault="005F08B9" w:rsidP="0035194C">
      <w:pPr>
        <w:ind w:firstLine="1298"/>
        <w:jc w:val="both"/>
        <w:rPr>
          <w:color w:val="000000"/>
          <w:lang w:eastAsia="lt-LT"/>
        </w:rPr>
      </w:pPr>
      <w:r w:rsidRPr="00BC08FA">
        <w:rPr>
          <w:b/>
          <w:bCs/>
          <w:color w:val="000000"/>
          <w:lang w:eastAsia="lt-LT"/>
        </w:rPr>
        <w:t>5.1.</w:t>
      </w:r>
      <w:r>
        <w:rPr>
          <w:color w:val="000000"/>
          <w:lang w:eastAsia="lt-LT"/>
        </w:rPr>
        <w:t xml:space="preserve"> </w:t>
      </w:r>
      <w:r w:rsidRPr="005E2C2A">
        <w:rPr>
          <w:color w:val="000000"/>
          <w:lang w:eastAsia="lt-LT"/>
        </w:rPr>
        <w:t>2023-05-05</w:t>
      </w:r>
      <w:r>
        <w:rPr>
          <w:color w:val="000000"/>
          <w:lang w:eastAsia="lt-LT"/>
        </w:rPr>
        <w:t xml:space="preserve"> buvo gautas Viešųjų pirkimų tarnybos (toliau – VPT) pranešimas Nr. </w:t>
      </w:r>
      <w:r w:rsidRPr="009C0624">
        <w:rPr>
          <w:color w:val="000000"/>
          <w:lang w:eastAsia="lt-LT"/>
        </w:rPr>
        <w:t>SK3-10974</w:t>
      </w:r>
      <w:r>
        <w:rPr>
          <w:color w:val="000000"/>
          <w:lang w:eastAsia="lt-LT"/>
        </w:rPr>
        <w:t xml:space="preserve"> apie tai, kad yra </w:t>
      </w:r>
      <w:r w:rsidRPr="00835904">
        <w:rPr>
          <w:color w:val="000000"/>
          <w:lang w:eastAsia="lt-LT"/>
        </w:rPr>
        <w:t>atlieka</w:t>
      </w:r>
      <w:r>
        <w:rPr>
          <w:color w:val="000000"/>
          <w:lang w:eastAsia="lt-LT"/>
        </w:rPr>
        <w:t>mas</w:t>
      </w:r>
      <w:r w:rsidRPr="00835904">
        <w:rPr>
          <w:color w:val="000000"/>
          <w:lang w:eastAsia="lt-LT"/>
        </w:rPr>
        <w:t xml:space="preserve"> VĮ Turto banko dinaminės</w:t>
      </w:r>
      <w:r>
        <w:rPr>
          <w:color w:val="000000"/>
          <w:lang w:eastAsia="lt-LT"/>
        </w:rPr>
        <w:t xml:space="preserve"> </w:t>
      </w:r>
      <w:r w:rsidRPr="00835904">
        <w:rPr>
          <w:color w:val="000000"/>
          <w:lang w:eastAsia="lt-LT"/>
        </w:rPr>
        <w:t>pirkimo sistemos pagrindu vykdyto pirkimo „VP-1661 Pastatų Goštauto g. 11, Vilniuje, atnaujinimo</w:t>
      </w:r>
      <w:r>
        <w:rPr>
          <w:color w:val="000000"/>
          <w:lang w:eastAsia="lt-LT"/>
        </w:rPr>
        <w:t xml:space="preserve"> </w:t>
      </w:r>
      <w:r w:rsidRPr="00835904">
        <w:rPr>
          <w:color w:val="000000"/>
          <w:lang w:eastAsia="lt-LT"/>
        </w:rPr>
        <w:t>(m</w:t>
      </w:r>
      <w:r>
        <w:rPr>
          <w:color w:val="000000"/>
          <w:lang w:eastAsia="lt-LT"/>
        </w:rPr>
        <w:t>o</w:t>
      </w:r>
      <w:r w:rsidRPr="00835904">
        <w:rPr>
          <w:color w:val="000000"/>
          <w:lang w:eastAsia="lt-LT"/>
        </w:rPr>
        <w:t>dernizavimo) projektinių pasiūlymų parengimo paslaugos“</w:t>
      </w:r>
      <w:r>
        <w:rPr>
          <w:color w:val="000000"/>
          <w:lang w:eastAsia="lt-LT"/>
        </w:rPr>
        <w:t>,</w:t>
      </w:r>
      <w:r w:rsidRPr="00835904">
        <w:rPr>
          <w:color w:val="000000"/>
          <w:lang w:eastAsia="lt-LT"/>
        </w:rPr>
        <w:t xml:space="preserve"> pirkimo Nr. 644941) vertinim</w:t>
      </w:r>
      <w:r>
        <w:rPr>
          <w:color w:val="000000"/>
          <w:lang w:eastAsia="lt-LT"/>
        </w:rPr>
        <w:t>as.</w:t>
      </w:r>
    </w:p>
    <w:p w14:paraId="637F8AC4" w14:textId="77777777" w:rsidR="005F08B9" w:rsidRDefault="005F08B9" w:rsidP="0035194C">
      <w:pPr>
        <w:ind w:firstLine="1298"/>
        <w:jc w:val="both"/>
        <w:rPr>
          <w:color w:val="000000"/>
          <w:lang w:eastAsia="lt-LT"/>
        </w:rPr>
      </w:pPr>
      <w:r>
        <w:rPr>
          <w:color w:val="000000"/>
          <w:lang w:eastAsia="lt-LT"/>
        </w:rPr>
        <w:t xml:space="preserve">2023-06-23 VPT raštu Nr. </w:t>
      </w:r>
      <w:r w:rsidRPr="002E0B04">
        <w:rPr>
          <w:color w:val="000000"/>
          <w:lang w:eastAsia="lt-LT"/>
        </w:rPr>
        <w:t>SK3-15771</w:t>
      </w:r>
      <w:r>
        <w:rPr>
          <w:color w:val="000000"/>
          <w:lang w:eastAsia="lt-LT"/>
        </w:rPr>
        <w:t xml:space="preserve"> pateikė vertinimo ataskaitą kurioje konstatuota, kad </w:t>
      </w:r>
      <w:r w:rsidRPr="00852030">
        <w:rPr>
          <w:color w:val="000000"/>
          <w:lang w:eastAsia="lt-LT"/>
        </w:rPr>
        <w:t>Perkančioji organizacija pažeidė Įstatymo 35 straipsnio 4 dalį, tačiau,</w:t>
      </w:r>
      <w:r>
        <w:rPr>
          <w:color w:val="000000"/>
          <w:lang w:eastAsia="lt-LT"/>
        </w:rPr>
        <w:t xml:space="preserve"> </w:t>
      </w:r>
      <w:r w:rsidRPr="00852030">
        <w:rPr>
          <w:color w:val="000000"/>
          <w:lang w:eastAsia="lt-LT"/>
        </w:rPr>
        <w:t>atsižvelgdama į Išvados II dalyje nurodytas aplinkybes ir argumentus, pažeidimą laiko neturėjusiu</w:t>
      </w:r>
      <w:r>
        <w:rPr>
          <w:color w:val="000000"/>
          <w:lang w:eastAsia="lt-LT"/>
        </w:rPr>
        <w:t xml:space="preserve"> </w:t>
      </w:r>
      <w:r w:rsidRPr="00852030">
        <w:rPr>
          <w:color w:val="000000"/>
          <w:lang w:eastAsia="lt-LT"/>
        </w:rPr>
        <w:t>įtakos Pirkimo rezultatui. Atsižvelgdama į Perkančiosios organizacijos pateiktą informaciją, kad</w:t>
      </w:r>
      <w:r>
        <w:rPr>
          <w:color w:val="000000"/>
          <w:lang w:eastAsia="lt-LT"/>
        </w:rPr>
        <w:t xml:space="preserve"> </w:t>
      </w:r>
      <w:r w:rsidRPr="00852030">
        <w:rPr>
          <w:color w:val="000000"/>
          <w:lang w:eastAsia="lt-LT"/>
        </w:rPr>
        <w:t>iki 2023 m. birželio 16 d. buvo įvykdyta apie 95 proc. Pirkimo sutartyje numatytų paslaugų, bei</w:t>
      </w:r>
      <w:r>
        <w:rPr>
          <w:color w:val="000000"/>
          <w:lang w:eastAsia="lt-LT"/>
        </w:rPr>
        <w:t xml:space="preserve"> </w:t>
      </w:r>
      <w:r w:rsidRPr="00852030">
        <w:rPr>
          <w:color w:val="000000"/>
          <w:lang w:eastAsia="lt-LT"/>
        </w:rPr>
        <w:t>vadovaudamasi teisingumo ir protingumo kriterijais, Tarnyba neteikia rekomendacijos dėl Pirkimo</w:t>
      </w:r>
      <w:r>
        <w:rPr>
          <w:color w:val="000000"/>
          <w:lang w:eastAsia="lt-LT"/>
        </w:rPr>
        <w:t xml:space="preserve"> </w:t>
      </w:r>
      <w:r w:rsidRPr="00852030">
        <w:rPr>
          <w:color w:val="000000"/>
          <w:lang w:eastAsia="lt-LT"/>
        </w:rPr>
        <w:t>sutarties nutraukimo.</w:t>
      </w:r>
    </w:p>
    <w:p w14:paraId="2EFB7CE9" w14:textId="77777777" w:rsidR="005F08B9" w:rsidRDefault="005F08B9" w:rsidP="0035194C">
      <w:pPr>
        <w:ind w:firstLine="1298"/>
        <w:jc w:val="both"/>
        <w:rPr>
          <w:color w:val="000000"/>
          <w:lang w:eastAsia="lt-LT"/>
        </w:rPr>
      </w:pPr>
      <w:r>
        <w:rPr>
          <w:color w:val="000000"/>
          <w:lang w:eastAsia="lt-LT"/>
        </w:rPr>
        <w:t>Išanalizavus duomenis nenustatyta, kad pažeidimas gali būti susijęs rizikos veiksniais galinčiais turėti įtakos korupcijos pasireiškimo tikimybei Analizuojamoje veiklos srityje (P</w:t>
      </w:r>
      <w:r w:rsidRPr="004F4FF4">
        <w:rPr>
          <w:color w:val="000000"/>
          <w:lang w:eastAsia="lt-LT"/>
        </w:rPr>
        <w:t>erkančioji organizacija Pirkimo</w:t>
      </w:r>
      <w:r>
        <w:rPr>
          <w:color w:val="000000"/>
          <w:lang w:eastAsia="lt-LT"/>
        </w:rPr>
        <w:t xml:space="preserve"> </w:t>
      </w:r>
      <w:r w:rsidRPr="004F4FF4">
        <w:rPr>
          <w:color w:val="000000"/>
          <w:lang w:eastAsia="lt-LT"/>
        </w:rPr>
        <w:t>dokumentuose nustatė netikslią ir dviprasmišką Pirkimo</w:t>
      </w:r>
      <w:r>
        <w:rPr>
          <w:color w:val="000000"/>
          <w:lang w:eastAsia="lt-LT"/>
        </w:rPr>
        <w:t xml:space="preserve"> </w:t>
      </w:r>
      <w:r w:rsidRPr="004F4FF4">
        <w:rPr>
          <w:color w:val="000000"/>
          <w:lang w:eastAsia="lt-LT"/>
        </w:rPr>
        <w:t>dokumentų sąlygą</w:t>
      </w:r>
      <w:r>
        <w:rPr>
          <w:color w:val="000000"/>
          <w:lang w:eastAsia="lt-LT"/>
        </w:rPr>
        <w:t xml:space="preserve"> </w:t>
      </w:r>
      <w:r w:rsidRPr="004F4FF4">
        <w:rPr>
          <w:color w:val="000000"/>
          <w:lang w:eastAsia="lt-LT"/>
        </w:rPr>
        <w:t>dėl paslaugų atlikimo termino</w:t>
      </w:r>
      <w:r>
        <w:rPr>
          <w:color w:val="000000"/>
          <w:lang w:eastAsia="lt-LT"/>
        </w:rPr>
        <w:t>),</w:t>
      </w:r>
    </w:p>
    <w:p w14:paraId="00F3CC38" w14:textId="77777777" w:rsidR="005F08B9" w:rsidRDefault="005F08B9" w:rsidP="0035194C">
      <w:pPr>
        <w:ind w:firstLine="1298"/>
        <w:jc w:val="both"/>
        <w:rPr>
          <w:color w:val="000000"/>
          <w:lang w:eastAsia="lt-LT"/>
        </w:rPr>
      </w:pPr>
      <w:r w:rsidRPr="00EC4FD7">
        <w:rPr>
          <w:b/>
          <w:bCs/>
          <w:color w:val="000000"/>
          <w:lang w:eastAsia="lt-LT"/>
        </w:rPr>
        <w:t>5.2.</w:t>
      </w:r>
      <w:r>
        <w:rPr>
          <w:color w:val="000000"/>
          <w:lang w:eastAsia="lt-LT"/>
        </w:rPr>
        <w:t xml:space="preserve"> </w:t>
      </w:r>
      <w:r w:rsidRPr="005E2C2A">
        <w:rPr>
          <w:color w:val="000000"/>
          <w:lang w:eastAsia="lt-LT"/>
        </w:rPr>
        <w:t>2023-0</w:t>
      </w:r>
      <w:r>
        <w:rPr>
          <w:color w:val="000000"/>
          <w:lang w:eastAsia="lt-LT"/>
        </w:rPr>
        <w:t>2</w:t>
      </w:r>
      <w:r w:rsidRPr="005E2C2A">
        <w:rPr>
          <w:color w:val="000000"/>
          <w:lang w:eastAsia="lt-LT"/>
        </w:rPr>
        <w:t>-05</w:t>
      </w:r>
      <w:r>
        <w:rPr>
          <w:color w:val="000000"/>
          <w:lang w:eastAsia="lt-LT"/>
        </w:rPr>
        <w:t xml:space="preserve"> buvo gautas VPT raštas Nr. </w:t>
      </w:r>
      <w:r w:rsidRPr="009C0624">
        <w:rPr>
          <w:color w:val="000000"/>
          <w:lang w:eastAsia="lt-LT"/>
        </w:rPr>
        <w:t>SK3</w:t>
      </w:r>
      <w:r>
        <w:rPr>
          <w:color w:val="000000"/>
          <w:lang w:eastAsia="lt-LT"/>
        </w:rPr>
        <w:t>-</w:t>
      </w:r>
      <w:r w:rsidRPr="00C16F44">
        <w:rPr>
          <w:color w:val="000000"/>
          <w:lang w:eastAsia="lt-LT"/>
        </w:rPr>
        <w:t>3023</w:t>
      </w:r>
      <w:r>
        <w:rPr>
          <w:color w:val="000000"/>
          <w:lang w:eastAsia="lt-LT"/>
        </w:rPr>
        <w:t xml:space="preserve"> kuriuo persiųstas 2.1.1. šios analizės punkte aprašytas </w:t>
      </w:r>
      <w:r w:rsidRPr="00A0054C">
        <w:t>Jungtiniai projektai, UAB</w:t>
      </w:r>
      <w:r>
        <w:t xml:space="preserve"> raštas. 2023-02-08 VPT raštu Nr. </w:t>
      </w:r>
      <w:r w:rsidRPr="00DE7221">
        <w:t>SK3-3586</w:t>
      </w:r>
      <w:r>
        <w:rPr>
          <w:color w:val="000000"/>
          <w:lang w:eastAsia="lt-LT"/>
        </w:rPr>
        <w:t xml:space="preserve"> </w:t>
      </w:r>
      <w:r>
        <w:t>informavo, kad</w:t>
      </w:r>
      <w:r>
        <w:rPr>
          <w:color w:val="000000"/>
          <w:lang w:eastAsia="lt-LT"/>
        </w:rPr>
        <w:t xml:space="preserve"> yra </w:t>
      </w:r>
      <w:r w:rsidRPr="00835904">
        <w:rPr>
          <w:color w:val="000000"/>
          <w:lang w:eastAsia="lt-LT"/>
        </w:rPr>
        <w:t>atlieka</w:t>
      </w:r>
      <w:r>
        <w:rPr>
          <w:color w:val="000000"/>
          <w:lang w:eastAsia="lt-LT"/>
        </w:rPr>
        <w:t xml:space="preserve">mas </w:t>
      </w:r>
      <w:r w:rsidRPr="00F76125">
        <w:rPr>
          <w:color w:val="000000"/>
          <w:lang w:eastAsia="lt-LT"/>
        </w:rPr>
        <w:t>VĮ Turto banko vykdyto viešojo pirkimo „VP-575 Vilniaus miesto 5-ojo policijos komisariato ir kelių policijos pastato, Vilniuje, Sietyno</w:t>
      </w:r>
      <w:r>
        <w:rPr>
          <w:color w:val="000000"/>
          <w:lang w:eastAsia="lt-LT"/>
        </w:rPr>
        <w:t xml:space="preserve"> </w:t>
      </w:r>
      <w:r w:rsidRPr="00F76125">
        <w:rPr>
          <w:color w:val="000000"/>
          <w:lang w:eastAsia="lt-LT"/>
        </w:rPr>
        <w:t>g. 24 rangos darbų ir darbo projekto pirkimas“ (CVP IS skelbtas 2021-07-16, pirkimo Nr. 555902) pagrindu sudarytos sutarties dalin</w:t>
      </w:r>
      <w:r>
        <w:rPr>
          <w:color w:val="000000"/>
          <w:lang w:eastAsia="lt-LT"/>
        </w:rPr>
        <w:t>is</w:t>
      </w:r>
      <w:r w:rsidRPr="00F76125">
        <w:rPr>
          <w:color w:val="000000"/>
          <w:lang w:eastAsia="lt-LT"/>
        </w:rPr>
        <w:t xml:space="preserve"> vertinim</w:t>
      </w:r>
      <w:r>
        <w:rPr>
          <w:color w:val="000000"/>
          <w:lang w:eastAsia="lt-LT"/>
        </w:rPr>
        <w:t>as.</w:t>
      </w:r>
    </w:p>
    <w:p w14:paraId="23EE1E18" w14:textId="77777777" w:rsidR="005F08B9" w:rsidRDefault="005F08B9" w:rsidP="0035194C">
      <w:pPr>
        <w:ind w:firstLine="1298"/>
        <w:jc w:val="both"/>
        <w:rPr>
          <w:color w:val="000000"/>
          <w:lang w:eastAsia="lt-LT"/>
        </w:rPr>
      </w:pPr>
      <w:r>
        <w:t xml:space="preserve">Turto bankas VPT pateikė visą prašoma informaciją ir o atlikto dalinio vertinimo </w:t>
      </w:r>
      <w:r w:rsidRPr="00463C39">
        <w:rPr>
          <w:color w:val="000000"/>
          <w:lang w:eastAsia="lt-LT"/>
        </w:rPr>
        <w:t>2024-05-30</w:t>
      </w:r>
      <w:r>
        <w:rPr>
          <w:color w:val="000000"/>
          <w:lang w:eastAsia="lt-LT"/>
        </w:rPr>
        <w:t xml:space="preserve"> VPT raštu Nr. </w:t>
      </w:r>
      <w:r w:rsidRPr="00602E3D">
        <w:rPr>
          <w:color w:val="000000"/>
          <w:lang w:eastAsia="lt-LT"/>
        </w:rPr>
        <w:t>SK3-14032</w:t>
      </w:r>
      <w:r>
        <w:rPr>
          <w:color w:val="000000"/>
          <w:lang w:eastAsia="lt-LT"/>
        </w:rPr>
        <w:t xml:space="preserve"> pateikė </w:t>
      </w:r>
      <w:r w:rsidRPr="00940B56">
        <w:rPr>
          <w:color w:val="000000"/>
          <w:lang w:eastAsia="lt-LT"/>
        </w:rPr>
        <w:t xml:space="preserve"> VĮ Turto banko (toliau – Perkančioji organizacija) pirkimo „VP-575</w:t>
      </w:r>
      <w:r>
        <w:rPr>
          <w:color w:val="000000"/>
          <w:lang w:eastAsia="lt-LT"/>
        </w:rPr>
        <w:t xml:space="preserve"> </w:t>
      </w:r>
      <w:r w:rsidRPr="00940B56">
        <w:rPr>
          <w:color w:val="000000"/>
          <w:lang w:eastAsia="lt-LT"/>
        </w:rPr>
        <w:t>Vilniaus miesto 5-ojo policijos komisariato ir kelių policijos pastato, Vilniuje, Sietyno g. 24 rangos</w:t>
      </w:r>
      <w:r>
        <w:rPr>
          <w:color w:val="000000"/>
          <w:lang w:eastAsia="lt-LT"/>
        </w:rPr>
        <w:t xml:space="preserve"> </w:t>
      </w:r>
      <w:r w:rsidRPr="00940B56">
        <w:rPr>
          <w:color w:val="000000"/>
          <w:lang w:eastAsia="lt-LT"/>
        </w:rPr>
        <w:t>darbų ir darbo projekto pirkimas“ pagrindu 2021 m. gruodžio 30 d. sudarytos sutarties pakeitimų</w:t>
      </w:r>
      <w:r>
        <w:rPr>
          <w:color w:val="000000"/>
          <w:lang w:eastAsia="lt-LT"/>
        </w:rPr>
        <w:t xml:space="preserve"> </w:t>
      </w:r>
      <w:r w:rsidRPr="00940B56">
        <w:rPr>
          <w:color w:val="000000"/>
          <w:lang w:eastAsia="lt-LT"/>
        </w:rPr>
        <w:t>teisėtumo vertinim</w:t>
      </w:r>
      <w:r>
        <w:rPr>
          <w:color w:val="000000"/>
          <w:lang w:eastAsia="lt-LT"/>
        </w:rPr>
        <w:t>o</w:t>
      </w:r>
      <w:r w:rsidRPr="00ED37A6">
        <w:t xml:space="preserve"> </w:t>
      </w:r>
      <w:hyperlink r:id="rId6" w:history="1">
        <w:r>
          <w:rPr>
            <w:rStyle w:val="Hipersaitas"/>
            <w:lang w:eastAsia="lt-LT"/>
          </w:rPr>
          <w:t>ataskaitą</w:t>
        </w:r>
      </w:hyperlink>
      <w:r>
        <w:rPr>
          <w:color w:val="000000"/>
          <w:lang w:eastAsia="lt-LT"/>
        </w:rPr>
        <w:t xml:space="preserve">  kurios II dalyje konstatuota:</w:t>
      </w:r>
    </w:p>
    <w:p w14:paraId="01053679" w14:textId="77777777" w:rsidR="005F08B9" w:rsidRDefault="005F08B9" w:rsidP="0035194C">
      <w:pPr>
        <w:ind w:firstLine="1298"/>
        <w:jc w:val="both"/>
      </w:pPr>
      <w:r w:rsidRPr="00E4122D">
        <w:rPr>
          <w:b/>
          <w:bCs/>
        </w:rPr>
        <w:t>Dėl sutarties pakeitimo (Susitarimo Nr. 1), susijusio su kainos indeksavimu</w:t>
      </w:r>
      <w:r>
        <w:t xml:space="preserve">. VPT </w:t>
      </w:r>
      <w:r w:rsidRPr="00E4122D">
        <w:t>atlikusi Sutarties pakeitimų teisėtumo vertinimą, konstatavo, kad Perkančioji organizacija, 2022 m. gruodžio 15 d. susitarimu (toliau – Susitarimas Nr. 1) iš esmės pakeitusi Sutarties Konkrečiųjų sąlygų 13.8 papunktyje nustatytą kainos keitimo tvarką bei indeksavusi Sutarties kainą, pažeidė LR Viešųjų pirkimų įstatymo (toliau – VPĮ) 17 straipsnio 1 dalyje įtvirtintus lygiateisiškumo ir skaidrumo principus bei neužtikrino racionalaus lėšų panaudojimo tikslo, numatyto VPĮ 17 straipsnio 2 dalies 1 punkte, taip pat pažeidė VPĮ 89 straipsnio 1 dalies 3 punktą bei 5 dalį, be kita ko, Tarnybos vertinimu, atliktas Sutarties pakeitimas neatitinka ir nei vieno kito VPĮ 89 straipsnio 1 ir 2 dalyse įtvirtinto keitimo pagrindo.</w:t>
      </w:r>
    </w:p>
    <w:p w14:paraId="40075DF7" w14:textId="77777777" w:rsidR="005F08B9" w:rsidRDefault="005F08B9" w:rsidP="0035194C">
      <w:pPr>
        <w:ind w:firstLine="1298"/>
        <w:jc w:val="both"/>
      </w:pPr>
      <w:r w:rsidRPr="00EE33C2">
        <w:rPr>
          <w:b/>
          <w:bCs/>
        </w:rPr>
        <w:t>Dėl indeksavimo pradžios momento</w:t>
      </w:r>
      <w:r>
        <w:t xml:space="preserve">. VPT </w:t>
      </w:r>
      <w:r w:rsidRPr="00EE33C2">
        <w:t>Išvadoje nurodė, kad siekiant perskaičiuoti kainą Įstatymo 89 straipsnio 1 dalies 3 punkte nustatytu pagrindu kainos perskaičiavimui naudojamų indeksų / kainų pokyčių laikotarpio pradžia negali būti siejama su laikotarpiais iki sutarties sudarymo, o turi būti siejami sutarties pasirašymo data (su sąlyga, kad nenumatytos aplinkybės atsirado jau po sutarties sudarymo)</w:t>
      </w:r>
      <w:r>
        <w:t>.</w:t>
      </w:r>
    </w:p>
    <w:p w14:paraId="75ACB00C" w14:textId="77777777" w:rsidR="005F08B9" w:rsidRDefault="005F08B9" w:rsidP="0035194C">
      <w:pPr>
        <w:ind w:firstLine="1298"/>
        <w:jc w:val="both"/>
      </w:pPr>
      <w:r w:rsidRPr="000F6909">
        <w:rPr>
          <w:b/>
          <w:bCs/>
        </w:rPr>
        <w:t>Dėl Sutarties pratęsimo</w:t>
      </w:r>
      <w:r>
        <w:t>.</w:t>
      </w:r>
      <w:r w:rsidRPr="000F6909">
        <w:t xml:space="preserve"> </w:t>
      </w:r>
      <w:r>
        <w:t xml:space="preserve">VPT </w:t>
      </w:r>
      <w:r w:rsidRPr="00683FB7">
        <w:t xml:space="preserve">Išvadoje taip pat konstatavo, kad 2023 m. birželio 19 d. susitarimas konkliudentiniais veiksmais dėl darbų atlikimo termino pratęsimo 3 mėnesiams, </w:t>
      </w:r>
      <w:r w:rsidRPr="00683FB7">
        <w:lastRenderedPageBreak/>
        <w:t>neatitinkantis Sutartyje nustatytų darbų atlikimo termino bei jo pratęsimo tvarkos, yra laikomas esminiu Sutarties pakeitimu, kuris negalėjo būti atliekamas</w:t>
      </w:r>
      <w:r>
        <w:t>.</w:t>
      </w:r>
    </w:p>
    <w:p w14:paraId="7CEAABD9" w14:textId="77777777" w:rsidR="005F08B9" w:rsidRDefault="005F08B9" w:rsidP="0035194C">
      <w:pPr>
        <w:ind w:firstLine="1298"/>
        <w:jc w:val="both"/>
      </w:pPr>
      <w:r>
        <w:t>Turto bankas 2024-06-17 raštu Nr. SK4-7660 „</w:t>
      </w:r>
      <w:r w:rsidRPr="00437D27">
        <w:t>Dėl 2024-05-30 VPT vertinimo išvados Nr. 4S-739</w:t>
      </w:r>
      <w:r>
        <w:t>“ VPT pateikė teisinius argumentus ir informavo kad</w:t>
      </w:r>
      <w:r w:rsidRPr="00C47123">
        <w:t xml:space="preserve">, </w:t>
      </w:r>
      <w:r>
        <w:t xml:space="preserve">Turto banko vertinimu, </w:t>
      </w:r>
      <w:r w:rsidRPr="00C47123">
        <w:t xml:space="preserve">Tarnyba </w:t>
      </w:r>
      <w:r w:rsidRPr="00C47123">
        <w:rPr>
          <w:bCs/>
        </w:rPr>
        <w:t xml:space="preserve">Išvados II dalyje nepagrįstai konstatavo </w:t>
      </w:r>
      <w:r>
        <w:rPr>
          <w:bCs/>
        </w:rPr>
        <w:t xml:space="preserve">esminius VPĮ </w:t>
      </w:r>
      <w:r w:rsidRPr="00C47123">
        <w:rPr>
          <w:bCs/>
        </w:rPr>
        <w:t>pažeidimus, todėl bet kokios atsakomybės</w:t>
      </w:r>
      <w:r w:rsidRPr="00C47123">
        <w:t xml:space="preserve"> taikymas Perkančiajai organizacijai už Išvadoje nurodytus Sutarties pakeitimus taip pat būtų nepagrįstas.</w:t>
      </w:r>
    </w:p>
    <w:p w14:paraId="51CFAED3" w14:textId="77777777" w:rsidR="005F08B9" w:rsidRPr="00C47123" w:rsidRDefault="005F08B9" w:rsidP="0035194C">
      <w:pPr>
        <w:ind w:firstLine="1298"/>
        <w:jc w:val="both"/>
      </w:pPr>
      <w:r>
        <w:t>VPT 2024-07-08 raštu Nr. SK3-17367 informavo, kad</w:t>
      </w:r>
      <w:r w:rsidRPr="00C47123">
        <w:t xml:space="preserve"> </w:t>
      </w:r>
      <w:r>
        <w:t>Tarnyba, susipažinusi su Rašte pateiktais Perkančiosios organizacijos nesutikimo motyvais, informuoja, kad Rašte nepateikta Sutarties sudarymo ir jos pakeitimų naujų aplinkybių, kurios nebūtų išnagrinėtos Tarnybos vertinimo metu ir galinčių turėti įtakos Vertinimo išvadoje konstatuotiems pažeidimams, todėl Tarnyba neįžvelgia nei faktinio, nei teisinio pagrindo keisti Vertinimo išvados turinio. VPT taip pat informavo kad, sprendimas dėl administracinės atsakomybės (ne)taikymo dėl Vertinimo išvadoje konstatuotų Įstatymo pažeidimų padarymo dar nėra priimtas. KPT nustatymo metu negauta informacijos apie kokį nors priimtą sprendimą dėl atsakomybės.</w:t>
      </w:r>
    </w:p>
    <w:p w14:paraId="2772AC65" w14:textId="77777777" w:rsidR="005F08B9" w:rsidRDefault="005F08B9" w:rsidP="0035194C">
      <w:pPr>
        <w:ind w:firstLine="1298"/>
        <w:jc w:val="both"/>
      </w:pPr>
      <w:r w:rsidRPr="00AC11E6">
        <w:rPr>
          <w:b/>
          <w:bCs/>
        </w:rPr>
        <w:t>6</w:t>
      </w:r>
      <w:r w:rsidRPr="00E04CF7">
        <w:t xml:space="preserve">. </w:t>
      </w:r>
      <w:r>
        <w:t xml:space="preserve"> Statistinių duomenų analizė:</w:t>
      </w:r>
    </w:p>
    <w:p w14:paraId="754C6D10" w14:textId="77777777" w:rsidR="005F08B9" w:rsidRPr="00EE2E29" w:rsidRDefault="005F08B9" w:rsidP="0035194C">
      <w:pPr>
        <w:ind w:firstLine="1298"/>
        <w:jc w:val="both"/>
      </w:pPr>
      <w:r>
        <w:t xml:space="preserve">KPT nustatymo metu buvo išanalizuoti viešai prieinami duomenys centrinėje viešųjų pirkimų informacinėje sistemoje (toliau – CVP IS) apie analizuojamu laikotarpiu paviešintas viešųjų pirkimų metu sudarytas sutartis. Atskaitiniu laikotarpiu CVP IS yra paviešintos </w:t>
      </w:r>
      <w:r w:rsidRPr="00127525">
        <w:rPr>
          <w:b/>
          <w:bCs/>
          <w:color w:val="000000"/>
          <w:lang w:eastAsia="lt-LT"/>
        </w:rPr>
        <w:t>2</w:t>
      </w:r>
      <w:r>
        <w:rPr>
          <w:b/>
          <w:bCs/>
          <w:color w:val="000000"/>
          <w:lang w:eastAsia="lt-LT"/>
        </w:rPr>
        <w:t xml:space="preserve"> </w:t>
      </w:r>
      <w:r w:rsidRPr="00127525">
        <w:rPr>
          <w:b/>
          <w:bCs/>
          <w:color w:val="000000"/>
          <w:lang w:eastAsia="lt-LT"/>
        </w:rPr>
        <w:t>248</w:t>
      </w:r>
      <w:r>
        <w:rPr>
          <w:b/>
          <w:bCs/>
          <w:color w:val="000000"/>
          <w:lang w:eastAsia="lt-LT"/>
        </w:rPr>
        <w:t xml:space="preserve"> </w:t>
      </w:r>
      <w:r w:rsidRPr="00267195">
        <w:rPr>
          <w:color w:val="000000"/>
          <w:lang w:eastAsia="lt-LT"/>
        </w:rPr>
        <w:t>sutartys</w:t>
      </w:r>
      <w:r>
        <w:rPr>
          <w:b/>
          <w:bCs/>
          <w:color w:val="000000"/>
          <w:lang w:eastAsia="lt-LT"/>
        </w:rPr>
        <w:t xml:space="preserve"> </w:t>
      </w:r>
      <w:r>
        <w:rPr>
          <w:color w:val="000000"/>
          <w:lang w:eastAsia="lt-LT"/>
        </w:rPr>
        <w:t xml:space="preserve">sudarytos su </w:t>
      </w:r>
      <w:r w:rsidRPr="00E275E2">
        <w:rPr>
          <w:b/>
          <w:bCs/>
          <w:color w:val="000000"/>
          <w:lang w:eastAsia="lt-LT"/>
        </w:rPr>
        <w:t>566</w:t>
      </w:r>
      <w:r>
        <w:rPr>
          <w:color w:val="000000"/>
          <w:lang w:eastAsia="lt-LT"/>
        </w:rPr>
        <w:t xml:space="preserve"> skirtingais tiekėjais </w:t>
      </w:r>
      <w:r w:rsidRPr="00CB1366">
        <w:rPr>
          <w:b/>
          <w:bCs/>
          <w:color w:val="000000"/>
          <w:lang w:eastAsia="lt-LT"/>
        </w:rPr>
        <w:t>140 463 376,5 Eur</w:t>
      </w:r>
      <w:r>
        <w:rPr>
          <w:color w:val="000000"/>
          <w:lang w:eastAsia="lt-LT"/>
        </w:rPr>
        <w:t>. Sumai.</w:t>
      </w:r>
    </w:p>
    <w:p w14:paraId="1000FEDE" w14:textId="77777777" w:rsidR="005F08B9" w:rsidRDefault="005F08B9" w:rsidP="002B7AAF">
      <w:pPr>
        <w:ind w:firstLine="851"/>
        <w:jc w:val="both"/>
      </w:pPr>
    </w:p>
    <w:p w14:paraId="113E4E76" w14:textId="77777777" w:rsidR="005F08B9" w:rsidRDefault="005F08B9" w:rsidP="00015417">
      <w:pPr>
        <w:jc w:val="both"/>
        <w:rPr>
          <w:color w:val="000000"/>
          <w:lang w:eastAsia="lt-LT"/>
        </w:rPr>
      </w:pPr>
      <w:r>
        <w:rPr>
          <w:color w:val="000000"/>
          <w:lang w:eastAsia="lt-LT"/>
        </w:rPr>
        <w:t>Lentelė Nr. 1. Viešai skelbiamų viešųjų pirkimų sutarčių analizė pagal sutarčių tipą ir būdą:</w:t>
      </w:r>
    </w:p>
    <w:tbl>
      <w:tblPr>
        <w:tblStyle w:val="Lentelstinklelis"/>
        <w:tblW w:w="0" w:type="auto"/>
        <w:tblLook w:val="04A0" w:firstRow="1" w:lastRow="0" w:firstColumn="1" w:lastColumn="0" w:noHBand="0" w:noVBand="1"/>
      </w:tblPr>
      <w:tblGrid>
        <w:gridCol w:w="2487"/>
        <w:gridCol w:w="1097"/>
        <w:gridCol w:w="1798"/>
        <w:gridCol w:w="2174"/>
        <w:gridCol w:w="2072"/>
      </w:tblGrid>
      <w:tr w:rsidR="005F08B9" w:rsidRPr="00036B9B" w14:paraId="14906745" w14:textId="77777777" w:rsidTr="00E811AD">
        <w:trPr>
          <w:trHeight w:val="290"/>
        </w:trPr>
        <w:tc>
          <w:tcPr>
            <w:tcW w:w="2487" w:type="dxa"/>
            <w:noWrap/>
            <w:hideMark/>
          </w:tcPr>
          <w:p w14:paraId="1E54C71B" w14:textId="77777777" w:rsidR="005F08B9" w:rsidRPr="000E5A47" w:rsidRDefault="005F08B9" w:rsidP="00036B9B">
            <w:pPr>
              <w:jc w:val="both"/>
              <w:rPr>
                <w:b/>
                <w:bCs/>
                <w:color w:val="000000"/>
                <w:lang w:eastAsia="lt-LT"/>
              </w:rPr>
            </w:pPr>
            <w:r w:rsidRPr="000E5A47">
              <w:rPr>
                <w:b/>
                <w:bCs/>
                <w:color w:val="000000"/>
                <w:lang w:eastAsia="lt-LT"/>
              </w:rPr>
              <w:t>Sutarčių Tipas</w:t>
            </w:r>
            <w:r>
              <w:rPr>
                <w:b/>
                <w:bCs/>
                <w:color w:val="000000"/>
                <w:lang w:eastAsia="lt-LT"/>
              </w:rPr>
              <w:t xml:space="preserve"> </w:t>
            </w:r>
            <w:r w:rsidRPr="000E5A47">
              <w:rPr>
                <w:b/>
                <w:bCs/>
                <w:color w:val="000000"/>
                <w:lang w:eastAsia="lt-LT"/>
              </w:rPr>
              <w:t>/ pirkimo būdas</w:t>
            </w:r>
          </w:p>
        </w:tc>
        <w:tc>
          <w:tcPr>
            <w:tcW w:w="1097" w:type="dxa"/>
            <w:noWrap/>
            <w:hideMark/>
          </w:tcPr>
          <w:p w14:paraId="3567202A" w14:textId="77777777" w:rsidR="005F08B9" w:rsidRPr="000E5A47" w:rsidRDefault="005F08B9" w:rsidP="00036B9B">
            <w:pPr>
              <w:jc w:val="both"/>
              <w:rPr>
                <w:b/>
                <w:bCs/>
                <w:color w:val="000000"/>
                <w:lang w:eastAsia="lt-LT"/>
              </w:rPr>
            </w:pPr>
            <w:r w:rsidRPr="000E5A47">
              <w:rPr>
                <w:b/>
                <w:bCs/>
                <w:color w:val="000000"/>
                <w:lang w:eastAsia="lt-LT"/>
              </w:rPr>
              <w:t>Sutarčių kiekis</w:t>
            </w:r>
          </w:p>
        </w:tc>
        <w:tc>
          <w:tcPr>
            <w:tcW w:w="1798" w:type="dxa"/>
          </w:tcPr>
          <w:p w14:paraId="5049BE6D" w14:textId="77777777" w:rsidR="005F08B9" w:rsidRDefault="005F08B9" w:rsidP="00036B9B">
            <w:pPr>
              <w:jc w:val="both"/>
              <w:rPr>
                <w:b/>
                <w:bCs/>
                <w:color w:val="000000"/>
                <w:lang w:eastAsia="lt-LT"/>
              </w:rPr>
            </w:pPr>
            <w:r>
              <w:rPr>
                <w:b/>
                <w:bCs/>
                <w:color w:val="000000"/>
                <w:lang w:eastAsia="lt-LT"/>
              </w:rPr>
              <w:t>Skirtingų tiekėjų sk.</w:t>
            </w:r>
          </w:p>
          <w:p w14:paraId="381B4D44" w14:textId="77777777" w:rsidR="005F08B9" w:rsidRPr="000E5A47" w:rsidRDefault="005F08B9" w:rsidP="00036B9B">
            <w:pPr>
              <w:jc w:val="both"/>
              <w:rPr>
                <w:b/>
                <w:bCs/>
                <w:color w:val="000000"/>
                <w:lang w:eastAsia="lt-LT"/>
              </w:rPr>
            </w:pPr>
            <w:r>
              <w:rPr>
                <w:b/>
                <w:bCs/>
                <w:color w:val="000000"/>
                <w:lang w:eastAsia="lt-LT"/>
              </w:rPr>
              <w:t>(pagal pirkimo būdą)</w:t>
            </w:r>
          </w:p>
        </w:tc>
        <w:tc>
          <w:tcPr>
            <w:tcW w:w="2174" w:type="dxa"/>
            <w:noWrap/>
            <w:hideMark/>
          </w:tcPr>
          <w:p w14:paraId="0A6FF23D" w14:textId="77777777" w:rsidR="005F08B9" w:rsidRPr="000E5A47" w:rsidRDefault="005F08B9" w:rsidP="00036B9B">
            <w:pPr>
              <w:jc w:val="both"/>
              <w:rPr>
                <w:b/>
                <w:bCs/>
                <w:color w:val="000000"/>
                <w:lang w:eastAsia="lt-LT"/>
              </w:rPr>
            </w:pPr>
            <w:r w:rsidRPr="000E5A47">
              <w:rPr>
                <w:b/>
                <w:bCs/>
                <w:color w:val="000000"/>
                <w:lang w:eastAsia="lt-LT"/>
              </w:rPr>
              <w:t>Sutarčių suma Eur</w:t>
            </w:r>
          </w:p>
        </w:tc>
        <w:tc>
          <w:tcPr>
            <w:tcW w:w="2072" w:type="dxa"/>
            <w:noWrap/>
            <w:hideMark/>
          </w:tcPr>
          <w:p w14:paraId="03ACBB0C" w14:textId="77777777" w:rsidR="005F08B9" w:rsidRPr="000E5A47" w:rsidRDefault="005F08B9" w:rsidP="00036B9B">
            <w:pPr>
              <w:jc w:val="both"/>
              <w:rPr>
                <w:b/>
                <w:bCs/>
                <w:color w:val="000000"/>
                <w:lang w:eastAsia="lt-LT"/>
              </w:rPr>
            </w:pPr>
            <w:r w:rsidRPr="000E5A47">
              <w:rPr>
                <w:b/>
                <w:bCs/>
                <w:color w:val="000000"/>
                <w:lang w:eastAsia="lt-LT"/>
              </w:rPr>
              <w:t>Proc</w:t>
            </w:r>
            <w:r>
              <w:rPr>
                <w:b/>
                <w:bCs/>
                <w:color w:val="000000"/>
                <w:lang w:eastAsia="lt-LT"/>
              </w:rPr>
              <w:t>entinė dalis nuo visos sutarčių sumos</w:t>
            </w:r>
          </w:p>
        </w:tc>
      </w:tr>
      <w:tr w:rsidR="005F08B9" w:rsidRPr="00036B9B" w14:paraId="546AE7FA" w14:textId="77777777" w:rsidTr="00E811AD">
        <w:trPr>
          <w:trHeight w:val="290"/>
        </w:trPr>
        <w:tc>
          <w:tcPr>
            <w:tcW w:w="2487" w:type="dxa"/>
            <w:noWrap/>
            <w:hideMark/>
          </w:tcPr>
          <w:p w14:paraId="02D6867B" w14:textId="77777777" w:rsidR="005F08B9" w:rsidRPr="00764084" w:rsidRDefault="005F08B9" w:rsidP="00036B9B">
            <w:pPr>
              <w:jc w:val="both"/>
              <w:rPr>
                <w:b/>
                <w:bCs/>
                <w:color w:val="000000"/>
                <w:lang w:eastAsia="lt-LT"/>
              </w:rPr>
            </w:pPr>
            <w:r w:rsidRPr="00764084">
              <w:rPr>
                <w:b/>
                <w:bCs/>
                <w:color w:val="000000"/>
                <w:lang w:eastAsia="lt-LT"/>
              </w:rPr>
              <w:t>Darbai viso iš jų:</w:t>
            </w:r>
          </w:p>
        </w:tc>
        <w:tc>
          <w:tcPr>
            <w:tcW w:w="1097" w:type="dxa"/>
            <w:noWrap/>
            <w:hideMark/>
          </w:tcPr>
          <w:p w14:paraId="7AF1C9F0" w14:textId="77777777" w:rsidR="005F08B9" w:rsidRPr="00764084" w:rsidRDefault="005F08B9" w:rsidP="00036B9B">
            <w:pPr>
              <w:jc w:val="both"/>
              <w:rPr>
                <w:b/>
                <w:bCs/>
                <w:color w:val="000000"/>
                <w:lang w:eastAsia="lt-LT"/>
              </w:rPr>
            </w:pPr>
            <w:r w:rsidRPr="00764084">
              <w:rPr>
                <w:b/>
                <w:bCs/>
                <w:color w:val="000000"/>
                <w:lang w:eastAsia="lt-LT"/>
              </w:rPr>
              <w:t>643</w:t>
            </w:r>
          </w:p>
        </w:tc>
        <w:tc>
          <w:tcPr>
            <w:tcW w:w="1798" w:type="dxa"/>
          </w:tcPr>
          <w:p w14:paraId="28DCF14E" w14:textId="77777777" w:rsidR="005F08B9" w:rsidRPr="00764084" w:rsidRDefault="005F08B9" w:rsidP="00036B9B">
            <w:pPr>
              <w:jc w:val="both"/>
              <w:rPr>
                <w:b/>
                <w:bCs/>
                <w:color w:val="000000"/>
                <w:lang w:eastAsia="lt-LT"/>
              </w:rPr>
            </w:pPr>
          </w:p>
        </w:tc>
        <w:tc>
          <w:tcPr>
            <w:tcW w:w="2174" w:type="dxa"/>
            <w:noWrap/>
            <w:hideMark/>
          </w:tcPr>
          <w:p w14:paraId="3F220425" w14:textId="77777777" w:rsidR="005F08B9" w:rsidRPr="00764084" w:rsidRDefault="005F08B9" w:rsidP="00036B9B">
            <w:pPr>
              <w:jc w:val="both"/>
              <w:rPr>
                <w:b/>
                <w:bCs/>
                <w:color w:val="000000"/>
                <w:lang w:eastAsia="lt-LT"/>
              </w:rPr>
            </w:pPr>
            <w:r w:rsidRPr="00764084">
              <w:rPr>
                <w:b/>
                <w:bCs/>
                <w:color w:val="000000"/>
                <w:lang w:eastAsia="lt-LT"/>
              </w:rPr>
              <w:t>78</w:t>
            </w:r>
            <w:r>
              <w:rPr>
                <w:b/>
                <w:bCs/>
                <w:color w:val="000000"/>
                <w:lang w:eastAsia="lt-LT"/>
              </w:rPr>
              <w:t xml:space="preserve"> </w:t>
            </w:r>
            <w:r w:rsidRPr="00764084">
              <w:rPr>
                <w:b/>
                <w:bCs/>
                <w:color w:val="000000"/>
                <w:lang w:eastAsia="lt-LT"/>
              </w:rPr>
              <w:t>669</w:t>
            </w:r>
            <w:r>
              <w:rPr>
                <w:b/>
                <w:bCs/>
                <w:color w:val="000000"/>
                <w:lang w:eastAsia="lt-LT"/>
              </w:rPr>
              <w:t xml:space="preserve"> </w:t>
            </w:r>
            <w:r w:rsidRPr="00764084">
              <w:rPr>
                <w:b/>
                <w:bCs/>
                <w:color w:val="000000"/>
                <w:lang w:eastAsia="lt-LT"/>
              </w:rPr>
              <w:t>493,01</w:t>
            </w:r>
          </w:p>
        </w:tc>
        <w:tc>
          <w:tcPr>
            <w:tcW w:w="2072" w:type="dxa"/>
            <w:noWrap/>
            <w:hideMark/>
          </w:tcPr>
          <w:p w14:paraId="1705CBDF" w14:textId="77777777" w:rsidR="005F08B9" w:rsidRPr="00764084" w:rsidRDefault="005F08B9" w:rsidP="00036B9B">
            <w:pPr>
              <w:jc w:val="both"/>
              <w:rPr>
                <w:b/>
                <w:bCs/>
                <w:color w:val="000000"/>
                <w:lang w:eastAsia="lt-LT"/>
              </w:rPr>
            </w:pPr>
            <w:r w:rsidRPr="00764084">
              <w:rPr>
                <w:b/>
                <w:bCs/>
                <w:color w:val="000000"/>
                <w:lang w:eastAsia="lt-LT"/>
              </w:rPr>
              <w:t>56,01</w:t>
            </w:r>
          </w:p>
        </w:tc>
      </w:tr>
      <w:tr w:rsidR="005F08B9" w:rsidRPr="00036B9B" w14:paraId="3EF4C760" w14:textId="77777777" w:rsidTr="00E811AD">
        <w:trPr>
          <w:trHeight w:val="290"/>
        </w:trPr>
        <w:tc>
          <w:tcPr>
            <w:tcW w:w="2487" w:type="dxa"/>
            <w:noWrap/>
            <w:hideMark/>
          </w:tcPr>
          <w:p w14:paraId="245243FA" w14:textId="77777777" w:rsidR="005F08B9" w:rsidRPr="00036B9B" w:rsidRDefault="005F08B9" w:rsidP="00036B9B">
            <w:pPr>
              <w:jc w:val="both"/>
              <w:rPr>
                <w:color w:val="000000"/>
                <w:lang w:eastAsia="lt-LT"/>
              </w:rPr>
            </w:pPr>
            <w:r w:rsidRPr="00036B9B">
              <w:rPr>
                <w:color w:val="000000"/>
                <w:lang w:eastAsia="lt-LT"/>
              </w:rPr>
              <w:t>PPS</w:t>
            </w:r>
          </w:p>
        </w:tc>
        <w:tc>
          <w:tcPr>
            <w:tcW w:w="1097" w:type="dxa"/>
            <w:noWrap/>
            <w:hideMark/>
          </w:tcPr>
          <w:p w14:paraId="0306A5B7" w14:textId="77777777" w:rsidR="005F08B9" w:rsidRPr="00036B9B" w:rsidRDefault="005F08B9" w:rsidP="00036B9B">
            <w:pPr>
              <w:jc w:val="both"/>
              <w:rPr>
                <w:color w:val="000000"/>
                <w:lang w:eastAsia="lt-LT"/>
              </w:rPr>
            </w:pPr>
            <w:r w:rsidRPr="00036B9B">
              <w:rPr>
                <w:color w:val="000000"/>
                <w:lang w:eastAsia="lt-LT"/>
              </w:rPr>
              <w:t>540</w:t>
            </w:r>
          </w:p>
        </w:tc>
        <w:tc>
          <w:tcPr>
            <w:tcW w:w="1798" w:type="dxa"/>
          </w:tcPr>
          <w:p w14:paraId="3110136E" w14:textId="77777777" w:rsidR="005F08B9" w:rsidRPr="00036B9B" w:rsidRDefault="005F08B9" w:rsidP="00036B9B">
            <w:pPr>
              <w:jc w:val="both"/>
              <w:rPr>
                <w:color w:val="000000"/>
                <w:lang w:eastAsia="lt-LT"/>
              </w:rPr>
            </w:pPr>
            <w:r>
              <w:rPr>
                <w:color w:val="000000"/>
                <w:lang w:eastAsia="lt-LT"/>
              </w:rPr>
              <w:t>69</w:t>
            </w:r>
          </w:p>
        </w:tc>
        <w:tc>
          <w:tcPr>
            <w:tcW w:w="2174" w:type="dxa"/>
            <w:noWrap/>
            <w:hideMark/>
          </w:tcPr>
          <w:p w14:paraId="50C63469" w14:textId="77777777" w:rsidR="005F08B9" w:rsidRPr="00036B9B" w:rsidRDefault="005F08B9" w:rsidP="00036B9B">
            <w:pPr>
              <w:jc w:val="both"/>
              <w:rPr>
                <w:color w:val="000000"/>
                <w:lang w:eastAsia="lt-LT"/>
              </w:rPr>
            </w:pPr>
            <w:r w:rsidRPr="00036B9B">
              <w:rPr>
                <w:color w:val="000000"/>
                <w:lang w:eastAsia="lt-LT"/>
              </w:rPr>
              <w:t>52</w:t>
            </w:r>
            <w:r>
              <w:rPr>
                <w:color w:val="000000"/>
                <w:lang w:eastAsia="lt-LT"/>
              </w:rPr>
              <w:t xml:space="preserve"> </w:t>
            </w:r>
            <w:r w:rsidRPr="00036B9B">
              <w:rPr>
                <w:color w:val="000000"/>
                <w:lang w:eastAsia="lt-LT"/>
              </w:rPr>
              <w:t>719</w:t>
            </w:r>
            <w:r>
              <w:rPr>
                <w:color w:val="000000"/>
                <w:lang w:eastAsia="lt-LT"/>
              </w:rPr>
              <w:t xml:space="preserve"> </w:t>
            </w:r>
            <w:r w:rsidRPr="00036B9B">
              <w:rPr>
                <w:color w:val="000000"/>
                <w:lang w:eastAsia="lt-LT"/>
              </w:rPr>
              <w:t>676,26</w:t>
            </w:r>
          </w:p>
        </w:tc>
        <w:tc>
          <w:tcPr>
            <w:tcW w:w="2072" w:type="dxa"/>
            <w:noWrap/>
            <w:hideMark/>
          </w:tcPr>
          <w:p w14:paraId="5ED57BA1" w14:textId="77777777" w:rsidR="005F08B9" w:rsidRPr="00036B9B" w:rsidRDefault="005F08B9" w:rsidP="00036B9B">
            <w:pPr>
              <w:jc w:val="both"/>
              <w:rPr>
                <w:color w:val="000000"/>
                <w:lang w:eastAsia="lt-LT"/>
              </w:rPr>
            </w:pPr>
            <w:r w:rsidRPr="00036B9B">
              <w:rPr>
                <w:color w:val="000000"/>
                <w:lang w:eastAsia="lt-LT"/>
              </w:rPr>
              <w:t>37,53</w:t>
            </w:r>
          </w:p>
        </w:tc>
      </w:tr>
      <w:tr w:rsidR="005F08B9" w:rsidRPr="00036B9B" w14:paraId="4F70CF63" w14:textId="77777777" w:rsidTr="00E811AD">
        <w:trPr>
          <w:trHeight w:val="290"/>
        </w:trPr>
        <w:tc>
          <w:tcPr>
            <w:tcW w:w="2487" w:type="dxa"/>
            <w:noWrap/>
            <w:hideMark/>
          </w:tcPr>
          <w:p w14:paraId="4F917954" w14:textId="77777777" w:rsidR="005F08B9" w:rsidRPr="00036B9B" w:rsidRDefault="005F08B9" w:rsidP="00036B9B">
            <w:pPr>
              <w:jc w:val="both"/>
              <w:rPr>
                <w:color w:val="000000"/>
                <w:lang w:eastAsia="lt-LT"/>
              </w:rPr>
            </w:pPr>
            <w:r w:rsidRPr="00036B9B">
              <w:rPr>
                <w:color w:val="000000"/>
                <w:lang w:eastAsia="lt-LT"/>
              </w:rPr>
              <w:t>TSP</w:t>
            </w:r>
          </w:p>
        </w:tc>
        <w:tc>
          <w:tcPr>
            <w:tcW w:w="1097" w:type="dxa"/>
            <w:noWrap/>
            <w:hideMark/>
          </w:tcPr>
          <w:p w14:paraId="1AE861FC" w14:textId="77777777" w:rsidR="005F08B9" w:rsidRPr="00036B9B" w:rsidRDefault="005F08B9" w:rsidP="00036B9B">
            <w:pPr>
              <w:jc w:val="both"/>
              <w:rPr>
                <w:color w:val="000000"/>
                <w:lang w:eastAsia="lt-LT"/>
              </w:rPr>
            </w:pPr>
            <w:r w:rsidRPr="00036B9B">
              <w:rPr>
                <w:color w:val="000000"/>
                <w:lang w:eastAsia="lt-LT"/>
              </w:rPr>
              <w:t>6</w:t>
            </w:r>
          </w:p>
        </w:tc>
        <w:tc>
          <w:tcPr>
            <w:tcW w:w="1798" w:type="dxa"/>
          </w:tcPr>
          <w:p w14:paraId="6003CB8C" w14:textId="77777777" w:rsidR="005F08B9" w:rsidRPr="00036B9B" w:rsidRDefault="005F08B9" w:rsidP="00036B9B">
            <w:pPr>
              <w:jc w:val="both"/>
              <w:rPr>
                <w:color w:val="000000"/>
                <w:lang w:eastAsia="lt-LT"/>
              </w:rPr>
            </w:pPr>
            <w:r>
              <w:rPr>
                <w:color w:val="000000"/>
                <w:lang w:eastAsia="lt-LT"/>
              </w:rPr>
              <w:t>6</w:t>
            </w:r>
          </w:p>
        </w:tc>
        <w:tc>
          <w:tcPr>
            <w:tcW w:w="2174" w:type="dxa"/>
            <w:noWrap/>
            <w:hideMark/>
          </w:tcPr>
          <w:p w14:paraId="0CA4B33F" w14:textId="77777777" w:rsidR="005F08B9" w:rsidRPr="00036B9B" w:rsidRDefault="005F08B9" w:rsidP="00036B9B">
            <w:pPr>
              <w:jc w:val="both"/>
              <w:rPr>
                <w:color w:val="000000"/>
                <w:lang w:eastAsia="lt-LT"/>
              </w:rPr>
            </w:pPr>
            <w:r w:rsidRPr="00036B9B">
              <w:rPr>
                <w:color w:val="000000"/>
                <w:lang w:eastAsia="lt-LT"/>
              </w:rPr>
              <w:t>24</w:t>
            </w:r>
            <w:r>
              <w:rPr>
                <w:color w:val="000000"/>
                <w:lang w:eastAsia="lt-LT"/>
              </w:rPr>
              <w:t xml:space="preserve"> </w:t>
            </w:r>
            <w:r w:rsidRPr="00036B9B">
              <w:rPr>
                <w:color w:val="000000"/>
                <w:lang w:eastAsia="lt-LT"/>
              </w:rPr>
              <w:t>333</w:t>
            </w:r>
            <w:r>
              <w:rPr>
                <w:color w:val="000000"/>
                <w:lang w:eastAsia="lt-LT"/>
              </w:rPr>
              <w:t xml:space="preserve"> </w:t>
            </w:r>
            <w:r w:rsidRPr="00036B9B">
              <w:rPr>
                <w:color w:val="000000"/>
                <w:lang w:eastAsia="lt-LT"/>
              </w:rPr>
              <w:t>640,41</w:t>
            </w:r>
          </w:p>
        </w:tc>
        <w:tc>
          <w:tcPr>
            <w:tcW w:w="2072" w:type="dxa"/>
            <w:noWrap/>
            <w:hideMark/>
          </w:tcPr>
          <w:p w14:paraId="257D3541" w14:textId="77777777" w:rsidR="005F08B9" w:rsidRPr="00036B9B" w:rsidRDefault="005F08B9" w:rsidP="00036B9B">
            <w:pPr>
              <w:jc w:val="both"/>
              <w:rPr>
                <w:color w:val="000000"/>
                <w:lang w:eastAsia="lt-LT"/>
              </w:rPr>
            </w:pPr>
            <w:r w:rsidRPr="00036B9B">
              <w:rPr>
                <w:color w:val="000000"/>
                <w:lang w:eastAsia="lt-LT"/>
              </w:rPr>
              <w:t>17,32</w:t>
            </w:r>
          </w:p>
        </w:tc>
      </w:tr>
      <w:tr w:rsidR="005F08B9" w:rsidRPr="00036B9B" w14:paraId="552B98E2" w14:textId="77777777" w:rsidTr="00E811AD">
        <w:trPr>
          <w:trHeight w:val="290"/>
        </w:trPr>
        <w:tc>
          <w:tcPr>
            <w:tcW w:w="2487" w:type="dxa"/>
            <w:noWrap/>
            <w:hideMark/>
          </w:tcPr>
          <w:p w14:paraId="35D0DB76" w14:textId="77777777" w:rsidR="005F08B9" w:rsidRPr="00036B9B" w:rsidRDefault="005F08B9" w:rsidP="00036B9B">
            <w:pPr>
              <w:jc w:val="both"/>
              <w:rPr>
                <w:color w:val="000000"/>
                <w:lang w:eastAsia="lt-LT"/>
              </w:rPr>
            </w:pPr>
            <w:r w:rsidRPr="00036B9B">
              <w:rPr>
                <w:color w:val="000000"/>
                <w:lang w:eastAsia="lt-LT"/>
              </w:rPr>
              <w:t>MVP</w:t>
            </w:r>
          </w:p>
        </w:tc>
        <w:tc>
          <w:tcPr>
            <w:tcW w:w="1097" w:type="dxa"/>
            <w:noWrap/>
            <w:hideMark/>
          </w:tcPr>
          <w:p w14:paraId="2880172F" w14:textId="77777777" w:rsidR="005F08B9" w:rsidRPr="00036B9B" w:rsidRDefault="005F08B9" w:rsidP="00036B9B">
            <w:pPr>
              <w:jc w:val="both"/>
              <w:rPr>
                <w:color w:val="000000"/>
                <w:lang w:eastAsia="lt-LT"/>
              </w:rPr>
            </w:pPr>
            <w:r w:rsidRPr="00036B9B">
              <w:rPr>
                <w:color w:val="000000"/>
                <w:lang w:eastAsia="lt-LT"/>
              </w:rPr>
              <w:t>89</w:t>
            </w:r>
          </w:p>
        </w:tc>
        <w:tc>
          <w:tcPr>
            <w:tcW w:w="1798" w:type="dxa"/>
          </w:tcPr>
          <w:p w14:paraId="55062D54" w14:textId="77777777" w:rsidR="005F08B9" w:rsidRPr="00036B9B" w:rsidRDefault="005F08B9" w:rsidP="00036B9B">
            <w:pPr>
              <w:jc w:val="both"/>
              <w:rPr>
                <w:color w:val="000000"/>
                <w:lang w:eastAsia="lt-LT"/>
              </w:rPr>
            </w:pPr>
            <w:r>
              <w:rPr>
                <w:color w:val="000000"/>
                <w:lang w:eastAsia="lt-LT"/>
              </w:rPr>
              <w:t>54</w:t>
            </w:r>
          </w:p>
        </w:tc>
        <w:tc>
          <w:tcPr>
            <w:tcW w:w="2174" w:type="dxa"/>
            <w:noWrap/>
            <w:hideMark/>
          </w:tcPr>
          <w:p w14:paraId="6905E5C0" w14:textId="77777777" w:rsidR="005F08B9" w:rsidRPr="00036B9B" w:rsidRDefault="005F08B9" w:rsidP="00036B9B">
            <w:pPr>
              <w:jc w:val="both"/>
              <w:rPr>
                <w:color w:val="000000"/>
                <w:lang w:eastAsia="lt-LT"/>
              </w:rPr>
            </w:pPr>
            <w:r w:rsidRPr="00036B9B">
              <w:rPr>
                <w:color w:val="000000"/>
                <w:lang w:eastAsia="lt-LT"/>
              </w:rPr>
              <w:t>1</w:t>
            </w:r>
            <w:r>
              <w:rPr>
                <w:color w:val="000000"/>
                <w:lang w:eastAsia="lt-LT"/>
              </w:rPr>
              <w:t xml:space="preserve"> </w:t>
            </w:r>
            <w:r w:rsidRPr="00036B9B">
              <w:rPr>
                <w:color w:val="000000"/>
                <w:lang w:eastAsia="lt-LT"/>
              </w:rPr>
              <w:t>433</w:t>
            </w:r>
            <w:r>
              <w:rPr>
                <w:color w:val="000000"/>
                <w:lang w:eastAsia="lt-LT"/>
              </w:rPr>
              <w:t xml:space="preserve"> </w:t>
            </w:r>
            <w:r w:rsidRPr="00036B9B">
              <w:rPr>
                <w:color w:val="000000"/>
                <w:lang w:eastAsia="lt-LT"/>
              </w:rPr>
              <w:t>020,51</w:t>
            </w:r>
          </w:p>
        </w:tc>
        <w:tc>
          <w:tcPr>
            <w:tcW w:w="2072" w:type="dxa"/>
            <w:noWrap/>
            <w:hideMark/>
          </w:tcPr>
          <w:p w14:paraId="224BE8B8" w14:textId="77777777" w:rsidR="005F08B9" w:rsidRPr="00036B9B" w:rsidRDefault="005F08B9" w:rsidP="00036B9B">
            <w:pPr>
              <w:jc w:val="both"/>
              <w:rPr>
                <w:color w:val="000000"/>
                <w:lang w:eastAsia="lt-LT"/>
              </w:rPr>
            </w:pPr>
            <w:r w:rsidRPr="00036B9B">
              <w:rPr>
                <w:color w:val="000000"/>
                <w:lang w:eastAsia="lt-LT"/>
              </w:rPr>
              <w:t>1,02</w:t>
            </w:r>
          </w:p>
        </w:tc>
      </w:tr>
      <w:tr w:rsidR="005F08B9" w:rsidRPr="00036B9B" w14:paraId="73BE641B" w14:textId="77777777" w:rsidTr="00E811AD">
        <w:trPr>
          <w:trHeight w:val="290"/>
        </w:trPr>
        <w:tc>
          <w:tcPr>
            <w:tcW w:w="2487" w:type="dxa"/>
            <w:noWrap/>
            <w:hideMark/>
          </w:tcPr>
          <w:p w14:paraId="0494FF3B" w14:textId="77777777" w:rsidR="005F08B9" w:rsidRPr="00036B9B" w:rsidRDefault="005F08B9" w:rsidP="00036B9B">
            <w:pPr>
              <w:jc w:val="both"/>
              <w:rPr>
                <w:color w:val="000000"/>
                <w:lang w:eastAsia="lt-LT"/>
              </w:rPr>
            </w:pPr>
            <w:r w:rsidRPr="00036B9B">
              <w:rPr>
                <w:color w:val="000000"/>
                <w:lang w:eastAsia="lt-LT"/>
              </w:rPr>
              <w:t>SPŽ</w:t>
            </w:r>
          </w:p>
        </w:tc>
        <w:tc>
          <w:tcPr>
            <w:tcW w:w="1097" w:type="dxa"/>
            <w:noWrap/>
            <w:hideMark/>
          </w:tcPr>
          <w:p w14:paraId="631027D7" w14:textId="77777777" w:rsidR="005F08B9" w:rsidRPr="00036B9B" w:rsidRDefault="005F08B9" w:rsidP="00036B9B">
            <w:pPr>
              <w:jc w:val="both"/>
              <w:rPr>
                <w:color w:val="000000"/>
                <w:lang w:eastAsia="lt-LT"/>
              </w:rPr>
            </w:pPr>
            <w:r w:rsidRPr="00036B9B">
              <w:rPr>
                <w:color w:val="000000"/>
                <w:lang w:eastAsia="lt-LT"/>
              </w:rPr>
              <w:t>2</w:t>
            </w:r>
          </w:p>
        </w:tc>
        <w:tc>
          <w:tcPr>
            <w:tcW w:w="1798" w:type="dxa"/>
          </w:tcPr>
          <w:p w14:paraId="7DD53FCA" w14:textId="77777777" w:rsidR="005F08B9" w:rsidRPr="00036B9B" w:rsidRDefault="005F08B9" w:rsidP="00036B9B">
            <w:pPr>
              <w:jc w:val="both"/>
              <w:rPr>
                <w:color w:val="000000"/>
                <w:lang w:eastAsia="lt-LT"/>
              </w:rPr>
            </w:pPr>
            <w:r>
              <w:rPr>
                <w:color w:val="000000"/>
                <w:lang w:eastAsia="lt-LT"/>
              </w:rPr>
              <w:t>2</w:t>
            </w:r>
          </w:p>
        </w:tc>
        <w:tc>
          <w:tcPr>
            <w:tcW w:w="2174" w:type="dxa"/>
            <w:noWrap/>
            <w:hideMark/>
          </w:tcPr>
          <w:p w14:paraId="78FD1CAB" w14:textId="77777777" w:rsidR="005F08B9" w:rsidRPr="00036B9B" w:rsidRDefault="005F08B9" w:rsidP="00036B9B">
            <w:pPr>
              <w:jc w:val="both"/>
              <w:rPr>
                <w:color w:val="000000"/>
                <w:lang w:eastAsia="lt-LT"/>
              </w:rPr>
            </w:pPr>
            <w:r w:rsidRPr="00036B9B">
              <w:rPr>
                <w:color w:val="000000"/>
                <w:lang w:eastAsia="lt-LT"/>
              </w:rPr>
              <w:t>143</w:t>
            </w:r>
            <w:r>
              <w:rPr>
                <w:color w:val="000000"/>
                <w:lang w:eastAsia="lt-LT"/>
              </w:rPr>
              <w:t xml:space="preserve"> </w:t>
            </w:r>
            <w:r w:rsidRPr="00036B9B">
              <w:rPr>
                <w:color w:val="000000"/>
                <w:lang w:eastAsia="lt-LT"/>
              </w:rPr>
              <w:t>929,5</w:t>
            </w:r>
          </w:p>
        </w:tc>
        <w:tc>
          <w:tcPr>
            <w:tcW w:w="2072" w:type="dxa"/>
            <w:noWrap/>
            <w:hideMark/>
          </w:tcPr>
          <w:p w14:paraId="2141C8BB" w14:textId="77777777" w:rsidR="005F08B9" w:rsidRPr="00036B9B" w:rsidRDefault="005F08B9" w:rsidP="00036B9B">
            <w:pPr>
              <w:jc w:val="both"/>
              <w:rPr>
                <w:color w:val="000000"/>
                <w:lang w:eastAsia="lt-LT"/>
              </w:rPr>
            </w:pPr>
            <w:r w:rsidRPr="00036B9B">
              <w:rPr>
                <w:color w:val="000000"/>
                <w:lang w:eastAsia="lt-LT"/>
              </w:rPr>
              <w:t>0,10</w:t>
            </w:r>
          </w:p>
        </w:tc>
      </w:tr>
      <w:tr w:rsidR="005F08B9" w:rsidRPr="00036B9B" w14:paraId="4E02B4FB" w14:textId="77777777" w:rsidTr="00E811AD">
        <w:trPr>
          <w:trHeight w:val="290"/>
        </w:trPr>
        <w:tc>
          <w:tcPr>
            <w:tcW w:w="2487" w:type="dxa"/>
            <w:noWrap/>
            <w:hideMark/>
          </w:tcPr>
          <w:p w14:paraId="6A134629" w14:textId="77777777" w:rsidR="005F08B9" w:rsidRPr="00036B9B" w:rsidRDefault="005F08B9" w:rsidP="00036B9B">
            <w:pPr>
              <w:jc w:val="both"/>
              <w:rPr>
                <w:color w:val="000000"/>
                <w:lang w:eastAsia="lt-LT"/>
              </w:rPr>
            </w:pPr>
            <w:r w:rsidRPr="00036B9B">
              <w:rPr>
                <w:color w:val="000000"/>
                <w:lang w:eastAsia="lt-LT"/>
              </w:rPr>
              <w:t>MVPŽ</w:t>
            </w:r>
          </w:p>
        </w:tc>
        <w:tc>
          <w:tcPr>
            <w:tcW w:w="1097" w:type="dxa"/>
            <w:noWrap/>
            <w:hideMark/>
          </w:tcPr>
          <w:p w14:paraId="00777188" w14:textId="77777777" w:rsidR="005F08B9" w:rsidRPr="00036B9B" w:rsidRDefault="005F08B9" w:rsidP="00036B9B">
            <w:pPr>
              <w:jc w:val="both"/>
              <w:rPr>
                <w:color w:val="000000"/>
                <w:lang w:eastAsia="lt-LT"/>
              </w:rPr>
            </w:pPr>
            <w:r w:rsidRPr="00036B9B">
              <w:rPr>
                <w:color w:val="000000"/>
                <w:lang w:eastAsia="lt-LT"/>
              </w:rPr>
              <w:t>6</w:t>
            </w:r>
          </w:p>
        </w:tc>
        <w:tc>
          <w:tcPr>
            <w:tcW w:w="1798" w:type="dxa"/>
          </w:tcPr>
          <w:p w14:paraId="014B31B2" w14:textId="77777777" w:rsidR="005F08B9" w:rsidRPr="00036B9B" w:rsidRDefault="005F08B9" w:rsidP="00036B9B">
            <w:pPr>
              <w:jc w:val="both"/>
              <w:rPr>
                <w:color w:val="000000"/>
                <w:lang w:eastAsia="lt-LT"/>
              </w:rPr>
            </w:pPr>
            <w:r>
              <w:rPr>
                <w:color w:val="000000"/>
                <w:lang w:eastAsia="lt-LT"/>
              </w:rPr>
              <w:t>6</w:t>
            </w:r>
          </w:p>
        </w:tc>
        <w:tc>
          <w:tcPr>
            <w:tcW w:w="2174" w:type="dxa"/>
            <w:noWrap/>
            <w:hideMark/>
          </w:tcPr>
          <w:p w14:paraId="3CBE317D" w14:textId="77777777" w:rsidR="005F08B9" w:rsidRPr="00036B9B" w:rsidRDefault="005F08B9" w:rsidP="00036B9B">
            <w:pPr>
              <w:jc w:val="both"/>
              <w:rPr>
                <w:color w:val="000000"/>
                <w:lang w:eastAsia="lt-LT"/>
              </w:rPr>
            </w:pPr>
            <w:r w:rsidRPr="00036B9B">
              <w:rPr>
                <w:color w:val="000000"/>
                <w:lang w:eastAsia="lt-LT"/>
              </w:rPr>
              <w:t>39</w:t>
            </w:r>
            <w:r>
              <w:rPr>
                <w:color w:val="000000"/>
                <w:lang w:eastAsia="lt-LT"/>
              </w:rPr>
              <w:t xml:space="preserve"> </w:t>
            </w:r>
            <w:r w:rsidRPr="00036B9B">
              <w:rPr>
                <w:color w:val="000000"/>
                <w:lang w:eastAsia="lt-LT"/>
              </w:rPr>
              <w:t>226,33</w:t>
            </w:r>
          </w:p>
        </w:tc>
        <w:tc>
          <w:tcPr>
            <w:tcW w:w="2072" w:type="dxa"/>
            <w:noWrap/>
            <w:hideMark/>
          </w:tcPr>
          <w:p w14:paraId="677D53BF" w14:textId="77777777" w:rsidR="005F08B9" w:rsidRPr="00036B9B" w:rsidRDefault="005F08B9" w:rsidP="00036B9B">
            <w:pPr>
              <w:jc w:val="both"/>
              <w:rPr>
                <w:color w:val="000000"/>
                <w:lang w:eastAsia="lt-LT"/>
              </w:rPr>
            </w:pPr>
            <w:r w:rsidRPr="00036B9B">
              <w:rPr>
                <w:color w:val="000000"/>
                <w:lang w:eastAsia="lt-LT"/>
              </w:rPr>
              <w:t>0,03</w:t>
            </w:r>
          </w:p>
        </w:tc>
      </w:tr>
      <w:tr w:rsidR="005F08B9" w:rsidRPr="00036B9B" w14:paraId="0FD9B8B3" w14:textId="77777777" w:rsidTr="00E811AD">
        <w:trPr>
          <w:trHeight w:val="290"/>
        </w:trPr>
        <w:tc>
          <w:tcPr>
            <w:tcW w:w="2487" w:type="dxa"/>
            <w:noWrap/>
            <w:hideMark/>
          </w:tcPr>
          <w:p w14:paraId="58E5DEEB" w14:textId="77777777" w:rsidR="005F08B9" w:rsidRPr="00127525" w:rsidRDefault="005F08B9" w:rsidP="00036B9B">
            <w:pPr>
              <w:jc w:val="both"/>
              <w:rPr>
                <w:b/>
                <w:bCs/>
                <w:color w:val="000000"/>
                <w:lang w:eastAsia="lt-LT"/>
              </w:rPr>
            </w:pPr>
            <w:r w:rsidRPr="00127525">
              <w:rPr>
                <w:b/>
                <w:bCs/>
                <w:color w:val="000000"/>
                <w:lang w:eastAsia="lt-LT"/>
              </w:rPr>
              <w:t>Paslaugos viso iš jų:</w:t>
            </w:r>
          </w:p>
        </w:tc>
        <w:tc>
          <w:tcPr>
            <w:tcW w:w="1097" w:type="dxa"/>
            <w:noWrap/>
            <w:hideMark/>
          </w:tcPr>
          <w:p w14:paraId="05A5C021" w14:textId="77777777" w:rsidR="005F08B9" w:rsidRPr="00127525" w:rsidRDefault="005F08B9" w:rsidP="00036B9B">
            <w:pPr>
              <w:jc w:val="both"/>
              <w:rPr>
                <w:b/>
                <w:bCs/>
                <w:color w:val="000000"/>
                <w:lang w:eastAsia="lt-LT"/>
              </w:rPr>
            </w:pPr>
            <w:r w:rsidRPr="00127525">
              <w:rPr>
                <w:b/>
                <w:bCs/>
                <w:color w:val="000000"/>
                <w:lang w:eastAsia="lt-LT"/>
              </w:rPr>
              <w:t>895</w:t>
            </w:r>
          </w:p>
        </w:tc>
        <w:tc>
          <w:tcPr>
            <w:tcW w:w="1798" w:type="dxa"/>
          </w:tcPr>
          <w:p w14:paraId="42C874E6" w14:textId="77777777" w:rsidR="005F08B9" w:rsidRPr="00127525" w:rsidRDefault="005F08B9" w:rsidP="00036B9B">
            <w:pPr>
              <w:jc w:val="both"/>
              <w:rPr>
                <w:b/>
                <w:bCs/>
                <w:color w:val="000000"/>
                <w:lang w:eastAsia="lt-LT"/>
              </w:rPr>
            </w:pPr>
          </w:p>
        </w:tc>
        <w:tc>
          <w:tcPr>
            <w:tcW w:w="2174" w:type="dxa"/>
            <w:noWrap/>
            <w:hideMark/>
          </w:tcPr>
          <w:p w14:paraId="1F397D43" w14:textId="77777777" w:rsidR="005F08B9" w:rsidRPr="00127525" w:rsidRDefault="005F08B9" w:rsidP="00036B9B">
            <w:pPr>
              <w:jc w:val="both"/>
              <w:rPr>
                <w:b/>
                <w:bCs/>
                <w:color w:val="000000"/>
                <w:lang w:eastAsia="lt-LT"/>
              </w:rPr>
            </w:pPr>
            <w:r w:rsidRPr="00127525">
              <w:rPr>
                <w:b/>
                <w:bCs/>
                <w:color w:val="000000"/>
                <w:lang w:eastAsia="lt-LT"/>
              </w:rPr>
              <w:t>54</w:t>
            </w:r>
            <w:r>
              <w:rPr>
                <w:b/>
                <w:bCs/>
                <w:color w:val="000000"/>
                <w:lang w:eastAsia="lt-LT"/>
              </w:rPr>
              <w:t xml:space="preserve"> </w:t>
            </w:r>
            <w:r w:rsidRPr="00127525">
              <w:rPr>
                <w:b/>
                <w:bCs/>
                <w:color w:val="000000"/>
                <w:lang w:eastAsia="lt-LT"/>
              </w:rPr>
              <w:t>190</w:t>
            </w:r>
            <w:r>
              <w:rPr>
                <w:b/>
                <w:bCs/>
                <w:color w:val="000000"/>
                <w:lang w:eastAsia="lt-LT"/>
              </w:rPr>
              <w:t xml:space="preserve"> </w:t>
            </w:r>
            <w:r w:rsidRPr="00127525">
              <w:rPr>
                <w:b/>
                <w:bCs/>
                <w:color w:val="000000"/>
                <w:lang w:eastAsia="lt-LT"/>
              </w:rPr>
              <w:t>801,52</w:t>
            </w:r>
          </w:p>
        </w:tc>
        <w:tc>
          <w:tcPr>
            <w:tcW w:w="2072" w:type="dxa"/>
            <w:noWrap/>
            <w:hideMark/>
          </w:tcPr>
          <w:p w14:paraId="7B8747C8" w14:textId="77777777" w:rsidR="005F08B9" w:rsidRPr="00127525" w:rsidRDefault="005F08B9" w:rsidP="00036B9B">
            <w:pPr>
              <w:jc w:val="both"/>
              <w:rPr>
                <w:b/>
                <w:bCs/>
                <w:color w:val="000000"/>
                <w:lang w:eastAsia="lt-LT"/>
              </w:rPr>
            </w:pPr>
            <w:r w:rsidRPr="00127525">
              <w:rPr>
                <w:b/>
                <w:bCs/>
                <w:color w:val="000000"/>
                <w:lang w:eastAsia="lt-LT"/>
              </w:rPr>
              <w:t>38,58</w:t>
            </w:r>
          </w:p>
        </w:tc>
      </w:tr>
      <w:tr w:rsidR="005F08B9" w:rsidRPr="00036B9B" w14:paraId="263E9788" w14:textId="77777777" w:rsidTr="00E811AD">
        <w:trPr>
          <w:trHeight w:val="290"/>
        </w:trPr>
        <w:tc>
          <w:tcPr>
            <w:tcW w:w="2487" w:type="dxa"/>
            <w:noWrap/>
            <w:hideMark/>
          </w:tcPr>
          <w:p w14:paraId="2E8F5404" w14:textId="77777777" w:rsidR="005F08B9" w:rsidRPr="00036B9B" w:rsidRDefault="005F08B9" w:rsidP="00036B9B">
            <w:pPr>
              <w:jc w:val="both"/>
              <w:rPr>
                <w:color w:val="000000"/>
                <w:lang w:eastAsia="lt-LT"/>
              </w:rPr>
            </w:pPr>
            <w:r w:rsidRPr="00036B9B">
              <w:rPr>
                <w:color w:val="000000"/>
                <w:lang w:eastAsia="lt-LT"/>
              </w:rPr>
              <w:t>PPS</w:t>
            </w:r>
          </w:p>
        </w:tc>
        <w:tc>
          <w:tcPr>
            <w:tcW w:w="1097" w:type="dxa"/>
            <w:noWrap/>
            <w:hideMark/>
          </w:tcPr>
          <w:p w14:paraId="4B96DEA4" w14:textId="77777777" w:rsidR="005F08B9" w:rsidRPr="00036B9B" w:rsidRDefault="005F08B9" w:rsidP="00036B9B">
            <w:pPr>
              <w:jc w:val="both"/>
              <w:rPr>
                <w:color w:val="000000"/>
                <w:lang w:eastAsia="lt-LT"/>
              </w:rPr>
            </w:pPr>
            <w:r w:rsidRPr="00036B9B">
              <w:rPr>
                <w:color w:val="000000"/>
                <w:lang w:eastAsia="lt-LT"/>
              </w:rPr>
              <w:t>188</w:t>
            </w:r>
          </w:p>
        </w:tc>
        <w:tc>
          <w:tcPr>
            <w:tcW w:w="1798" w:type="dxa"/>
          </w:tcPr>
          <w:p w14:paraId="75E81477" w14:textId="77777777" w:rsidR="005F08B9" w:rsidRPr="00036B9B" w:rsidRDefault="005F08B9" w:rsidP="00036B9B">
            <w:pPr>
              <w:jc w:val="both"/>
              <w:rPr>
                <w:color w:val="000000"/>
                <w:lang w:eastAsia="lt-LT"/>
              </w:rPr>
            </w:pPr>
            <w:r>
              <w:rPr>
                <w:color w:val="000000"/>
                <w:lang w:eastAsia="lt-LT"/>
              </w:rPr>
              <w:t>62</w:t>
            </w:r>
          </w:p>
        </w:tc>
        <w:tc>
          <w:tcPr>
            <w:tcW w:w="2174" w:type="dxa"/>
            <w:noWrap/>
            <w:hideMark/>
          </w:tcPr>
          <w:p w14:paraId="6365FFBB" w14:textId="77777777" w:rsidR="005F08B9" w:rsidRPr="00036B9B" w:rsidRDefault="005F08B9" w:rsidP="00036B9B">
            <w:pPr>
              <w:jc w:val="both"/>
              <w:rPr>
                <w:color w:val="000000"/>
                <w:lang w:eastAsia="lt-LT"/>
              </w:rPr>
            </w:pPr>
            <w:r w:rsidRPr="00036B9B">
              <w:rPr>
                <w:color w:val="000000"/>
                <w:lang w:eastAsia="lt-LT"/>
              </w:rPr>
              <w:t>39</w:t>
            </w:r>
            <w:r>
              <w:rPr>
                <w:color w:val="000000"/>
                <w:lang w:eastAsia="lt-LT"/>
              </w:rPr>
              <w:t xml:space="preserve"> </w:t>
            </w:r>
            <w:r w:rsidRPr="00036B9B">
              <w:rPr>
                <w:color w:val="000000"/>
                <w:lang w:eastAsia="lt-LT"/>
              </w:rPr>
              <w:t>524</w:t>
            </w:r>
            <w:r>
              <w:rPr>
                <w:color w:val="000000"/>
                <w:lang w:eastAsia="lt-LT"/>
              </w:rPr>
              <w:t xml:space="preserve"> </w:t>
            </w:r>
            <w:r w:rsidRPr="00036B9B">
              <w:rPr>
                <w:color w:val="000000"/>
                <w:lang w:eastAsia="lt-LT"/>
              </w:rPr>
              <w:t>866,15</w:t>
            </w:r>
          </w:p>
        </w:tc>
        <w:tc>
          <w:tcPr>
            <w:tcW w:w="2072" w:type="dxa"/>
            <w:noWrap/>
            <w:hideMark/>
          </w:tcPr>
          <w:p w14:paraId="5B10955A" w14:textId="77777777" w:rsidR="005F08B9" w:rsidRPr="00036B9B" w:rsidRDefault="005F08B9" w:rsidP="00036B9B">
            <w:pPr>
              <w:jc w:val="both"/>
              <w:rPr>
                <w:color w:val="000000"/>
                <w:lang w:eastAsia="lt-LT"/>
              </w:rPr>
            </w:pPr>
            <w:r w:rsidRPr="00036B9B">
              <w:rPr>
                <w:color w:val="000000"/>
                <w:lang w:eastAsia="lt-LT"/>
              </w:rPr>
              <w:t>28,14</w:t>
            </w:r>
          </w:p>
        </w:tc>
      </w:tr>
      <w:tr w:rsidR="005F08B9" w:rsidRPr="00036B9B" w14:paraId="3AD58694" w14:textId="77777777" w:rsidTr="00E811AD">
        <w:trPr>
          <w:trHeight w:val="290"/>
        </w:trPr>
        <w:tc>
          <w:tcPr>
            <w:tcW w:w="2487" w:type="dxa"/>
            <w:noWrap/>
            <w:hideMark/>
          </w:tcPr>
          <w:p w14:paraId="4A47FD38" w14:textId="77777777" w:rsidR="005F08B9" w:rsidRPr="00036B9B" w:rsidRDefault="005F08B9" w:rsidP="00036B9B">
            <w:pPr>
              <w:jc w:val="both"/>
              <w:rPr>
                <w:color w:val="000000"/>
                <w:lang w:eastAsia="lt-LT"/>
              </w:rPr>
            </w:pPr>
            <w:r w:rsidRPr="00036B9B">
              <w:rPr>
                <w:color w:val="000000"/>
                <w:lang w:eastAsia="lt-LT"/>
              </w:rPr>
              <w:t>TSP</w:t>
            </w:r>
          </w:p>
        </w:tc>
        <w:tc>
          <w:tcPr>
            <w:tcW w:w="1097" w:type="dxa"/>
            <w:noWrap/>
            <w:hideMark/>
          </w:tcPr>
          <w:p w14:paraId="46CA2BC1" w14:textId="77777777" w:rsidR="005F08B9" w:rsidRPr="00036B9B" w:rsidRDefault="005F08B9" w:rsidP="00036B9B">
            <w:pPr>
              <w:jc w:val="both"/>
              <w:rPr>
                <w:color w:val="000000"/>
                <w:lang w:eastAsia="lt-LT"/>
              </w:rPr>
            </w:pPr>
            <w:r w:rsidRPr="00036B9B">
              <w:rPr>
                <w:color w:val="000000"/>
                <w:lang w:eastAsia="lt-LT"/>
              </w:rPr>
              <w:t>90</w:t>
            </w:r>
          </w:p>
        </w:tc>
        <w:tc>
          <w:tcPr>
            <w:tcW w:w="1798" w:type="dxa"/>
          </w:tcPr>
          <w:p w14:paraId="54FD5FDB" w14:textId="77777777" w:rsidR="005F08B9" w:rsidRPr="00036B9B" w:rsidRDefault="005F08B9" w:rsidP="00036B9B">
            <w:pPr>
              <w:jc w:val="both"/>
              <w:rPr>
                <w:color w:val="000000"/>
                <w:lang w:eastAsia="lt-LT"/>
              </w:rPr>
            </w:pPr>
            <w:r>
              <w:rPr>
                <w:color w:val="000000"/>
                <w:lang w:eastAsia="lt-LT"/>
              </w:rPr>
              <w:t>41</w:t>
            </w:r>
          </w:p>
        </w:tc>
        <w:tc>
          <w:tcPr>
            <w:tcW w:w="2174" w:type="dxa"/>
            <w:noWrap/>
            <w:hideMark/>
          </w:tcPr>
          <w:p w14:paraId="17533F1C" w14:textId="77777777" w:rsidR="005F08B9" w:rsidRPr="00036B9B" w:rsidRDefault="005F08B9" w:rsidP="00036B9B">
            <w:pPr>
              <w:jc w:val="both"/>
              <w:rPr>
                <w:color w:val="000000"/>
                <w:lang w:eastAsia="lt-LT"/>
              </w:rPr>
            </w:pPr>
            <w:r w:rsidRPr="00036B9B">
              <w:rPr>
                <w:color w:val="000000"/>
                <w:lang w:eastAsia="lt-LT"/>
              </w:rPr>
              <w:t>11</w:t>
            </w:r>
            <w:r>
              <w:rPr>
                <w:color w:val="000000"/>
                <w:lang w:eastAsia="lt-LT"/>
              </w:rPr>
              <w:t xml:space="preserve"> </w:t>
            </w:r>
            <w:r w:rsidRPr="00036B9B">
              <w:rPr>
                <w:color w:val="000000"/>
                <w:lang w:eastAsia="lt-LT"/>
              </w:rPr>
              <w:t>993</w:t>
            </w:r>
            <w:r>
              <w:rPr>
                <w:color w:val="000000"/>
                <w:lang w:eastAsia="lt-LT"/>
              </w:rPr>
              <w:t xml:space="preserve"> </w:t>
            </w:r>
            <w:r w:rsidRPr="00036B9B">
              <w:rPr>
                <w:color w:val="000000"/>
                <w:lang w:eastAsia="lt-LT"/>
              </w:rPr>
              <w:t>498,99</w:t>
            </w:r>
          </w:p>
        </w:tc>
        <w:tc>
          <w:tcPr>
            <w:tcW w:w="2072" w:type="dxa"/>
            <w:noWrap/>
            <w:hideMark/>
          </w:tcPr>
          <w:p w14:paraId="6FA8D3E2" w14:textId="77777777" w:rsidR="005F08B9" w:rsidRPr="00036B9B" w:rsidRDefault="005F08B9" w:rsidP="00036B9B">
            <w:pPr>
              <w:jc w:val="both"/>
              <w:rPr>
                <w:color w:val="000000"/>
                <w:lang w:eastAsia="lt-LT"/>
              </w:rPr>
            </w:pPr>
            <w:r w:rsidRPr="00036B9B">
              <w:rPr>
                <w:color w:val="000000"/>
                <w:lang w:eastAsia="lt-LT"/>
              </w:rPr>
              <w:t>8,54</w:t>
            </w:r>
          </w:p>
        </w:tc>
      </w:tr>
      <w:tr w:rsidR="005F08B9" w:rsidRPr="00036B9B" w14:paraId="6B299960" w14:textId="77777777" w:rsidTr="00E811AD">
        <w:trPr>
          <w:trHeight w:val="290"/>
        </w:trPr>
        <w:tc>
          <w:tcPr>
            <w:tcW w:w="2487" w:type="dxa"/>
            <w:noWrap/>
            <w:hideMark/>
          </w:tcPr>
          <w:p w14:paraId="2C98B0D0" w14:textId="77777777" w:rsidR="005F08B9" w:rsidRPr="00036B9B" w:rsidRDefault="005F08B9" w:rsidP="00036B9B">
            <w:pPr>
              <w:jc w:val="both"/>
              <w:rPr>
                <w:color w:val="000000"/>
                <w:lang w:eastAsia="lt-LT"/>
              </w:rPr>
            </w:pPr>
            <w:r w:rsidRPr="00036B9B">
              <w:rPr>
                <w:color w:val="000000"/>
                <w:lang w:eastAsia="lt-LT"/>
              </w:rPr>
              <w:t>MVP</w:t>
            </w:r>
          </w:p>
        </w:tc>
        <w:tc>
          <w:tcPr>
            <w:tcW w:w="1097" w:type="dxa"/>
            <w:noWrap/>
            <w:hideMark/>
          </w:tcPr>
          <w:p w14:paraId="78C3D541" w14:textId="77777777" w:rsidR="005F08B9" w:rsidRPr="00036B9B" w:rsidRDefault="005F08B9" w:rsidP="00036B9B">
            <w:pPr>
              <w:jc w:val="both"/>
              <w:rPr>
                <w:color w:val="000000"/>
                <w:lang w:eastAsia="lt-LT"/>
              </w:rPr>
            </w:pPr>
            <w:r w:rsidRPr="00036B9B">
              <w:rPr>
                <w:color w:val="000000"/>
                <w:lang w:eastAsia="lt-LT"/>
              </w:rPr>
              <w:t>208</w:t>
            </w:r>
          </w:p>
        </w:tc>
        <w:tc>
          <w:tcPr>
            <w:tcW w:w="1798" w:type="dxa"/>
          </w:tcPr>
          <w:p w14:paraId="0BD91993" w14:textId="77777777" w:rsidR="005F08B9" w:rsidRPr="00036B9B" w:rsidRDefault="005F08B9" w:rsidP="00036B9B">
            <w:pPr>
              <w:jc w:val="both"/>
              <w:rPr>
                <w:color w:val="000000"/>
                <w:lang w:eastAsia="lt-LT"/>
              </w:rPr>
            </w:pPr>
            <w:r>
              <w:rPr>
                <w:color w:val="000000"/>
                <w:lang w:eastAsia="lt-LT"/>
              </w:rPr>
              <w:t>132</w:t>
            </w:r>
          </w:p>
        </w:tc>
        <w:tc>
          <w:tcPr>
            <w:tcW w:w="2174" w:type="dxa"/>
            <w:noWrap/>
            <w:hideMark/>
          </w:tcPr>
          <w:p w14:paraId="22B6D2BA" w14:textId="77777777" w:rsidR="005F08B9" w:rsidRPr="00036B9B" w:rsidRDefault="005F08B9" w:rsidP="00036B9B">
            <w:pPr>
              <w:jc w:val="both"/>
              <w:rPr>
                <w:color w:val="000000"/>
                <w:lang w:eastAsia="lt-LT"/>
              </w:rPr>
            </w:pPr>
            <w:r w:rsidRPr="00036B9B">
              <w:rPr>
                <w:color w:val="000000"/>
                <w:lang w:eastAsia="lt-LT"/>
              </w:rPr>
              <w:t>2</w:t>
            </w:r>
            <w:r>
              <w:rPr>
                <w:color w:val="000000"/>
                <w:lang w:eastAsia="lt-LT"/>
              </w:rPr>
              <w:t xml:space="preserve"> </w:t>
            </w:r>
            <w:r w:rsidRPr="00036B9B">
              <w:rPr>
                <w:color w:val="000000"/>
                <w:lang w:eastAsia="lt-LT"/>
              </w:rPr>
              <w:t>284</w:t>
            </w:r>
            <w:r>
              <w:rPr>
                <w:color w:val="000000"/>
                <w:lang w:eastAsia="lt-LT"/>
              </w:rPr>
              <w:t xml:space="preserve"> </w:t>
            </w:r>
            <w:r w:rsidRPr="00036B9B">
              <w:rPr>
                <w:color w:val="000000"/>
                <w:lang w:eastAsia="lt-LT"/>
              </w:rPr>
              <w:t>541,53</w:t>
            </w:r>
          </w:p>
        </w:tc>
        <w:tc>
          <w:tcPr>
            <w:tcW w:w="2072" w:type="dxa"/>
            <w:noWrap/>
            <w:hideMark/>
          </w:tcPr>
          <w:p w14:paraId="5ABEF77F" w14:textId="77777777" w:rsidR="005F08B9" w:rsidRPr="00036B9B" w:rsidRDefault="005F08B9" w:rsidP="00036B9B">
            <w:pPr>
              <w:jc w:val="both"/>
              <w:rPr>
                <w:color w:val="000000"/>
                <w:lang w:eastAsia="lt-LT"/>
              </w:rPr>
            </w:pPr>
            <w:r w:rsidRPr="00036B9B">
              <w:rPr>
                <w:color w:val="000000"/>
                <w:lang w:eastAsia="lt-LT"/>
              </w:rPr>
              <w:t>1,63</w:t>
            </w:r>
          </w:p>
        </w:tc>
      </w:tr>
      <w:tr w:rsidR="005F08B9" w:rsidRPr="00036B9B" w14:paraId="31B103DB" w14:textId="77777777" w:rsidTr="00E811AD">
        <w:trPr>
          <w:trHeight w:val="290"/>
        </w:trPr>
        <w:tc>
          <w:tcPr>
            <w:tcW w:w="2487" w:type="dxa"/>
            <w:noWrap/>
            <w:hideMark/>
          </w:tcPr>
          <w:p w14:paraId="35EDFAB3" w14:textId="77777777" w:rsidR="005F08B9" w:rsidRPr="00036B9B" w:rsidRDefault="005F08B9" w:rsidP="00036B9B">
            <w:pPr>
              <w:jc w:val="both"/>
              <w:rPr>
                <w:color w:val="000000"/>
                <w:lang w:eastAsia="lt-LT"/>
              </w:rPr>
            </w:pPr>
            <w:r w:rsidRPr="00036B9B">
              <w:rPr>
                <w:color w:val="000000"/>
                <w:lang w:eastAsia="lt-LT"/>
              </w:rPr>
              <w:t>MVPŽ</w:t>
            </w:r>
          </w:p>
        </w:tc>
        <w:tc>
          <w:tcPr>
            <w:tcW w:w="1097" w:type="dxa"/>
            <w:noWrap/>
            <w:hideMark/>
          </w:tcPr>
          <w:p w14:paraId="05B78491" w14:textId="77777777" w:rsidR="005F08B9" w:rsidRPr="00036B9B" w:rsidRDefault="005F08B9" w:rsidP="00036B9B">
            <w:pPr>
              <w:jc w:val="both"/>
              <w:rPr>
                <w:color w:val="000000"/>
                <w:lang w:eastAsia="lt-LT"/>
              </w:rPr>
            </w:pPr>
            <w:r w:rsidRPr="00036B9B">
              <w:rPr>
                <w:color w:val="000000"/>
                <w:lang w:eastAsia="lt-LT"/>
              </w:rPr>
              <w:t>409</w:t>
            </w:r>
          </w:p>
        </w:tc>
        <w:tc>
          <w:tcPr>
            <w:tcW w:w="1798" w:type="dxa"/>
          </w:tcPr>
          <w:p w14:paraId="6C65527D" w14:textId="77777777" w:rsidR="005F08B9" w:rsidRPr="00036B9B" w:rsidRDefault="005F08B9" w:rsidP="00036B9B">
            <w:pPr>
              <w:jc w:val="both"/>
              <w:rPr>
                <w:color w:val="000000"/>
                <w:lang w:eastAsia="lt-LT"/>
              </w:rPr>
            </w:pPr>
            <w:r>
              <w:rPr>
                <w:color w:val="000000"/>
                <w:lang w:eastAsia="lt-LT"/>
              </w:rPr>
              <w:t>158</w:t>
            </w:r>
          </w:p>
        </w:tc>
        <w:tc>
          <w:tcPr>
            <w:tcW w:w="2174" w:type="dxa"/>
            <w:noWrap/>
            <w:hideMark/>
          </w:tcPr>
          <w:p w14:paraId="061A7EDF" w14:textId="77777777" w:rsidR="005F08B9" w:rsidRPr="00036B9B" w:rsidRDefault="005F08B9" w:rsidP="00036B9B">
            <w:pPr>
              <w:jc w:val="both"/>
              <w:rPr>
                <w:color w:val="000000"/>
                <w:lang w:eastAsia="lt-LT"/>
              </w:rPr>
            </w:pPr>
            <w:r w:rsidRPr="00036B9B">
              <w:rPr>
                <w:color w:val="000000"/>
                <w:lang w:eastAsia="lt-LT"/>
              </w:rPr>
              <w:t>387</w:t>
            </w:r>
            <w:r>
              <w:rPr>
                <w:color w:val="000000"/>
                <w:lang w:eastAsia="lt-LT"/>
              </w:rPr>
              <w:t xml:space="preserve"> </w:t>
            </w:r>
            <w:r w:rsidRPr="00036B9B">
              <w:rPr>
                <w:color w:val="000000"/>
                <w:lang w:eastAsia="lt-LT"/>
              </w:rPr>
              <w:t>894,85</w:t>
            </w:r>
          </w:p>
        </w:tc>
        <w:tc>
          <w:tcPr>
            <w:tcW w:w="2072" w:type="dxa"/>
            <w:noWrap/>
            <w:hideMark/>
          </w:tcPr>
          <w:p w14:paraId="4181F56C" w14:textId="77777777" w:rsidR="005F08B9" w:rsidRPr="00036B9B" w:rsidRDefault="005F08B9" w:rsidP="00036B9B">
            <w:pPr>
              <w:jc w:val="both"/>
              <w:rPr>
                <w:color w:val="000000"/>
                <w:lang w:eastAsia="lt-LT"/>
              </w:rPr>
            </w:pPr>
            <w:r w:rsidRPr="00036B9B">
              <w:rPr>
                <w:color w:val="000000"/>
                <w:lang w:eastAsia="lt-LT"/>
              </w:rPr>
              <w:t>0,28</w:t>
            </w:r>
          </w:p>
        </w:tc>
      </w:tr>
      <w:tr w:rsidR="005F08B9" w:rsidRPr="00036B9B" w14:paraId="5D09C7AF" w14:textId="77777777" w:rsidTr="00E811AD">
        <w:trPr>
          <w:trHeight w:val="290"/>
        </w:trPr>
        <w:tc>
          <w:tcPr>
            <w:tcW w:w="2487" w:type="dxa"/>
            <w:noWrap/>
            <w:hideMark/>
          </w:tcPr>
          <w:p w14:paraId="6EEDB74E" w14:textId="77777777" w:rsidR="005F08B9" w:rsidRPr="00127525" w:rsidRDefault="005F08B9" w:rsidP="00036B9B">
            <w:pPr>
              <w:jc w:val="both"/>
              <w:rPr>
                <w:b/>
                <w:bCs/>
                <w:color w:val="000000"/>
                <w:lang w:eastAsia="lt-LT"/>
              </w:rPr>
            </w:pPr>
            <w:r w:rsidRPr="00127525">
              <w:rPr>
                <w:b/>
                <w:bCs/>
                <w:color w:val="000000"/>
                <w:lang w:eastAsia="lt-LT"/>
              </w:rPr>
              <w:t>Prekės viso iš jų</w:t>
            </w:r>
            <w:r>
              <w:rPr>
                <w:b/>
                <w:bCs/>
                <w:color w:val="000000"/>
                <w:lang w:eastAsia="lt-LT"/>
              </w:rPr>
              <w:t>:</w:t>
            </w:r>
          </w:p>
        </w:tc>
        <w:tc>
          <w:tcPr>
            <w:tcW w:w="1097" w:type="dxa"/>
            <w:noWrap/>
            <w:hideMark/>
          </w:tcPr>
          <w:p w14:paraId="309E27DE" w14:textId="77777777" w:rsidR="005F08B9" w:rsidRPr="00127525" w:rsidRDefault="005F08B9" w:rsidP="00036B9B">
            <w:pPr>
              <w:jc w:val="both"/>
              <w:rPr>
                <w:b/>
                <w:bCs/>
                <w:color w:val="000000"/>
                <w:lang w:eastAsia="lt-LT"/>
              </w:rPr>
            </w:pPr>
            <w:r w:rsidRPr="00127525">
              <w:rPr>
                <w:b/>
                <w:bCs/>
                <w:color w:val="000000"/>
                <w:lang w:eastAsia="lt-LT"/>
              </w:rPr>
              <w:t>710</w:t>
            </w:r>
          </w:p>
        </w:tc>
        <w:tc>
          <w:tcPr>
            <w:tcW w:w="1798" w:type="dxa"/>
          </w:tcPr>
          <w:p w14:paraId="3E6C454B" w14:textId="77777777" w:rsidR="005F08B9" w:rsidRPr="00127525" w:rsidRDefault="005F08B9" w:rsidP="00036B9B">
            <w:pPr>
              <w:jc w:val="both"/>
              <w:rPr>
                <w:b/>
                <w:bCs/>
                <w:color w:val="000000"/>
                <w:lang w:eastAsia="lt-LT"/>
              </w:rPr>
            </w:pPr>
          </w:p>
        </w:tc>
        <w:tc>
          <w:tcPr>
            <w:tcW w:w="2174" w:type="dxa"/>
            <w:noWrap/>
            <w:hideMark/>
          </w:tcPr>
          <w:p w14:paraId="5AAB1953" w14:textId="77777777" w:rsidR="005F08B9" w:rsidRPr="00127525" w:rsidRDefault="005F08B9" w:rsidP="00036B9B">
            <w:pPr>
              <w:jc w:val="both"/>
              <w:rPr>
                <w:b/>
                <w:bCs/>
                <w:color w:val="000000"/>
                <w:lang w:eastAsia="lt-LT"/>
              </w:rPr>
            </w:pPr>
            <w:r w:rsidRPr="00127525">
              <w:rPr>
                <w:b/>
                <w:bCs/>
                <w:color w:val="000000"/>
                <w:lang w:eastAsia="lt-LT"/>
              </w:rPr>
              <w:t>7</w:t>
            </w:r>
            <w:r>
              <w:rPr>
                <w:b/>
                <w:bCs/>
                <w:color w:val="000000"/>
                <w:lang w:eastAsia="lt-LT"/>
              </w:rPr>
              <w:t xml:space="preserve"> </w:t>
            </w:r>
            <w:r w:rsidRPr="00127525">
              <w:rPr>
                <w:b/>
                <w:bCs/>
                <w:color w:val="000000"/>
                <w:lang w:eastAsia="lt-LT"/>
              </w:rPr>
              <w:t>603</w:t>
            </w:r>
            <w:r>
              <w:rPr>
                <w:b/>
                <w:bCs/>
                <w:color w:val="000000"/>
                <w:lang w:eastAsia="lt-LT"/>
              </w:rPr>
              <w:t xml:space="preserve"> </w:t>
            </w:r>
            <w:r w:rsidRPr="00127525">
              <w:rPr>
                <w:b/>
                <w:bCs/>
                <w:color w:val="000000"/>
                <w:lang w:eastAsia="lt-LT"/>
              </w:rPr>
              <w:t>082,01</w:t>
            </w:r>
          </w:p>
        </w:tc>
        <w:tc>
          <w:tcPr>
            <w:tcW w:w="2072" w:type="dxa"/>
            <w:noWrap/>
            <w:hideMark/>
          </w:tcPr>
          <w:p w14:paraId="70F75F23" w14:textId="77777777" w:rsidR="005F08B9" w:rsidRPr="00127525" w:rsidRDefault="005F08B9" w:rsidP="00036B9B">
            <w:pPr>
              <w:jc w:val="both"/>
              <w:rPr>
                <w:b/>
                <w:bCs/>
                <w:color w:val="000000"/>
                <w:lang w:eastAsia="lt-LT"/>
              </w:rPr>
            </w:pPr>
            <w:r w:rsidRPr="00127525">
              <w:rPr>
                <w:b/>
                <w:bCs/>
                <w:color w:val="000000"/>
                <w:lang w:eastAsia="lt-LT"/>
              </w:rPr>
              <w:t>5,41</w:t>
            </w:r>
          </w:p>
        </w:tc>
      </w:tr>
      <w:tr w:rsidR="005F08B9" w:rsidRPr="00036B9B" w14:paraId="37AAB417" w14:textId="77777777" w:rsidTr="00E811AD">
        <w:trPr>
          <w:trHeight w:val="290"/>
        </w:trPr>
        <w:tc>
          <w:tcPr>
            <w:tcW w:w="2487" w:type="dxa"/>
            <w:noWrap/>
            <w:hideMark/>
          </w:tcPr>
          <w:p w14:paraId="5B3E7C15" w14:textId="77777777" w:rsidR="005F08B9" w:rsidRPr="00036B9B" w:rsidRDefault="005F08B9" w:rsidP="00036B9B">
            <w:pPr>
              <w:jc w:val="both"/>
              <w:rPr>
                <w:color w:val="000000"/>
                <w:lang w:eastAsia="lt-LT"/>
              </w:rPr>
            </w:pPr>
            <w:r w:rsidRPr="00036B9B">
              <w:rPr>
                <w:color w:val="000000"/>
                <w:lang w:eastAsia="lt-LT"/>
              </w:rPr>
              <w:t>PPS</w:t>
            </w:r>
          </w:p>
        </w:tc>
        <w:tc>
          <w:tcPr>
            <w:tcW w:w="1097" w:type="dxa"/>
            <w:noWrap/>
            <w:hideMark/>
          </w:tcPr>
          <w:p w14:paraId="072B26F8" w14:textId="77777777" w:rsidR="005F08B9" w:rsidRPr="00036B9B" w:rsidRDefault="005F08B9" w:rsidP="00036B9B">
            <w:pPr>
              <w:jc w:val="both"/>
              <w:rPr>
                <w:color w:val="000000"/>
                <w:lang w:eastAsia="lt-LT"/>
              </w:rPr>
            </w:pPr>
            <w:r w:rsidRPr="00036B9B">
              <w:rPr>
                <w:color w:val="000000"/>
                <w:lang w:eastAsia="lt-LT"/>
              </w:rPr>
              <w:t>61</w:t>
            </w:r>
          </w:p>
        </w:tc>
        <w:tc>
          <w:tcPr>
            <w:tcW w:w="1798" w:type="dxa"/>
          </w:tcPr>
          <w:p w14:paraId="1D82BCCE" w14:textId="77777777" w:rsidR="005F08B9" w:rsidRPr="00036B9B" w:rsidRDefault="005F08B9" w:rsidP="00036B9B">
            <w:pPr>
              <w:jc w:val="both"/>
              <w:rPr>
                <w:color w:val="000000"/>
                <w:lang w:eastAsia="lt-LT"/>
              </w:rPr>
            </w:pPr>
            <w:r>
              <w:rPr>
                <w:color w:val="000000"/>
                <w:lang w:eastAsia="lt-LT"/>
              </w:rPr>
              <w:t>21</w:t>
            </w:r>
          </w:p>
        </w:tc>
        <w:tc>
          <w:tcPr>
            <w:tcW w:w="2174" w:type="dxa"/>
            <w:noWrap/>
            <w:hideMark/>
          </w:tcPr>
          <w:p w14:paraId="3B91F3F7" w14:textId="77777777" w:rsidR="005F08B9" w:rsidRPr="00036B9B" w:rsidRDefault="005F08B9" w:rsidP="00036B9B">
            <w:pPr>
              <w:jc w:val="both"/>
              <w:rPr>
                <w:color w:val="000000"/>
                <w:lang w:eastAsia="lt-LT"/>
              </w:rPr>
            </w:pPr>
            <w:r w:rsidRPr="00036B9B">
              <w:rPr>
                <w:color w:val="000000"/>
                <w:lang w:eastAsia="lt-LT"/>
              </w:rPr>
              <w:t>6</w:t>
            </w:r>
            <w:r>
              <w:rPr>
                <w:color w:val="000000"/>
                <w:lang w:eastAsia="lt-LT"/>
              </w:rPr>
              <w:t xml:space="preserve"> </w:t>
            </w:r>
            <w:r w:rsidRPr="00036B9B">
              <w:rPr>
                <w:color w:val="000000"/>
                <w:lang w:eastAsia="lt-LT"/>
              </w:rPr>
              <w:t>099</w:t>
            </w:r>
            <w:r>
              <w:rPr>
                <w:color w:val="000000"/>
                <w:lang w:eastAsia="lt-LT"/>
              </w:rPr>
              <w:t xml:space="preserve"> </w:t>
            </w:r>
            <w:r w:rsidRPr="00036B9B">
              <w:rPr>
                <w:color w:val="000000"/>
                <w:lang w:eastAsia="lt-LT"/>
              </w:rPr>
              <w:t>718,21</w:t>
            </w:r>
          </w:p>
        </w:tc>
        <w:tc>
          <w:tcPr>
            <w:tcW w:w="2072" w:type="dxa"/>
            <w:noWrap/>
            <w:hideMark/>
          </w:tcPr>
          <w:p w14:paraId="69492F5B" w14:textId="77777777" w:rsidR="005F08B9" w:rsidRPr="00036B9B" w:rsidRDefault="005F08B9" w:rsidP="00036B9B">
            <w:pPr>
              <w:jc w:val="both"/>
              <w:rPr>
                <w:color w:val="000000"/>
                <w:lang w:eastAsia="lt-LT"/>
              </w:rPr>
            </w:pPr>
            <w:r w:rsidRPr="00036B9B">
              <w:rPr>
                <w:color w:val="000000"/>
                <w:lang w:eastAsia="lt-LT"/>
              </w:rPr>
              <w:t>4,34</w:t>
            </w:r>
          </w:p>
        </w:tc>
      </w:tr>
      <w:tr w:rsidR="005F08B9" w:rsidRPr="00036B9B" w14:paraId="730A804E" w14:textId="77777777" w:rsidTr="00E811AD">
        <w:trPr>
          <w:trHeight w:val="290"/>
        </w:trPr>
        <w:tc>
          <w:tcPr>
            <w:tcW w:w="2487" w:type="dxa"/>
            <w:noWrap/>
            <w:hideMark/>
          </w:tcPr>
          <w:p w14:paraId="2ACB9DC4" w14:textId="77777777" w:rsidR="005F08B9" w:rsidRPr="00036B9B" w:rsidRDefault="005F08B9" w:rsidP="00036B9B">
            <w:pPr>
              <w:jc w:val="both"/>
              <w:rPr>
                <w:color w:val="000000"/>
                <w:lang w:eastAsia="lt-LT"/>
              </w:rPr>
            </w:pPr>
            <w:r w:rsidRPr="00036B9B">
              <w:rPr>
                <w:color w:val="000000"/>
                <w:lang w:eastAsia="lt-LT"/>
              </w:rPr>
              <w:t>TSP</w:t>
            </w:r>
          </w:p>
        </w:tc>
        <w:tc>
          <w:tcPr>
            <w:tcW w:w="1097" w:type="dxa"/>
            <w:noWrap/>
            <w:hideMark/>
          </w:tcPr>
          <w:p w14:paraId="60701FA6" w14:textId="77777777" w:rsidR="005F08B9" w:rsidRPr="00036B9B" w:rsidRDefault="005F08B9" w:rsidP="00036B9B">
            <w:pPr>
              <w:jc w:val="both"/>
              <w:rPr>
                <w:color w:val="000000"/>
                <w:lang w:eastAsia="lt-LT"/>
              </w:rPr>
            </w:pPr>
            <w:r w:rsidRPr="00036B9B">
              <w:rPr>
                <w:color w:val="000000"/>
                <w:lang w:eastAsia="lt-LT"/>
              </w:rPr>
              <w:t>8</w:t>
            </w:r>
          </w:p>
        </w:tc>
        <w:tc>
          <w:tcPr>
            <w:tcW w:w="1798" w:type="dxa"/>
          </w:tcPr>
          <w:p w14:paraId="487B0D07" w14:textId="77777777" w:rsidR="005F08B9" w:rsidRPr="00036B9B" w:rsidRDefault="005F08B9" w:rsidP="00036B9B">
            <w:pPr>
              <w:jc w:val="both"/>
              <w:rPr>
                <w:color w:val="000000"/>
                <w:lang w:eastAsia="lt-LT"/>
              </w:rPr>
            </w:pPr>
            <w:r>
              <w:rPr>
                <w:color w:val="000000"/>
                <w:lang w:eastAsia="lt-LT"/>
              </w:rPr>
              <w:t>5</w:t>
            </w:r>
          </w:p>
        </w:tc>
        <w:tc>
          <w:tcPr>
            <w:tcW w:w="2174" w:type="dxa"/>
            <w:noWrap/>
            <w:hideMark/>
          </w:tcPr>
          <w:p w14:paraId="33AFAAB2" w14:textId="77777777" w:rsidR="005F08B9" w:rsidRPr="00036B9B" w:rsidRDefault="005F08B9" w:rsidP="00036B9B">
            <w:pPr>
              <w:jc w:val="both"/>
              <w:rPr>
                <w:color w:val="000000"/>
                <w:lang w:eastAsia="lt-LT"/>
              </w:rPr>
            </w:pPr>
            <w:r w:rsidRPr="00036B9B">
              <w:rPr>
                <w:color w:val="000000"/>
                <w:lang w:eastAsia="lt-LT"/>
              </w:rPr>
              <w:t>974</w:t>
            </w:r>
            <w:r>
              <w:rPr>
                <w:color w:val="000000"/>
                <w:lang w:eastAsia="lt-LT"/>
              </w:rPr>
              <w:t xml:space="preserve"> </w:t>
            </w:r>
            <w:r w:rsidRPr="00036B9B">
              <w:rPr>
                <w:color w:val="000000"/>
                <w:lang w:eastAsia="lt-LT"/>
              </w:rPr>
              <w:t>069,38</w:t>
            </w:r>
          </w:p>
        </w:tc>
        <w:tc>
          <w:tcPr>
            <w:tcW w:w="2072" w:type="dxa"/>
            <w:noWrap/>
            <w:hideMark/>
          </w:tcPr>
          <w:p w14:paraId="753450BE" w14:textId="77777777" w:rsidR="005F08B9" w:rsidRPr="00036B9B" w:rsidRDefault="005F08B9" w:rsidP="00036B9B">
            <w:pPr>
              <w:jc w:val="both"/>
              <w:rPr>
                <w:color w:val="000000"/>
                <w:lang w:eastAsia="lt-LT"/>
              </w:rPr>
            </w:pPr>
            <w:r w:rsidRPr="00036B9B">
              <w:rPr>
                <w:color w:val="000000"/>
                <w:lang w:eastAsia="lt-LT"/>
              </w:rPr>
              <w:t>0,69</w:t>
            </w:r>
          </w:p>
        </w:tc>
      </w:tr>
      <w:tr w:rsidR="005F08B9" w:rsidRPr="00036B9B" w14:paraId="4DC3641A" w14:textId="77777777" w:rsidTr="00E811AD">
        <w:trPr>
          <w:trHeight w:val="290"/>
        </w:trPr>
        <w:tc>
          <w:tcPr>
            <w:tcW w:w="2487" w:type="dxa"/>
            <w:noWrap/>
            <w:hideMark/>
          </w:tcPr>
          <w:p w14:paraId="74E93721" w14:textId="77777777" w:rsidR="005F08B9" w:rsidRPr="00036B9B" w:rsidRDefault="005F08B9" w:rsidP="00036B9B">
            <w:pPr>
              <w:jc w:val="both"/>
              <w:rPr>
                <w:color w:val="000000"/>
                <w:lang w:eastAsia="lt-LT"/>
              </w:rPr>
            </w:pPr>
            <w:r w:rsidRPr="00036B9B">
              <w:rPr>
                <w:color w:val="000000"/>
                <w:lang w:eastAsia="lt-LT"/>
              </w:rPr>
              <w:t>MVP</w:t>
            </w:r>
          </w:p>
        </w:tc>
        <w:tc>
          <w:tcPr>
            <w:tcW w:w="1097" w:type="dxa"/>
            <w:noWrap/>
            <w:hideMark/>
          </w:tcPr>
          <w:p w14:paraId="31F4E480" w14:textId="77777777" w:rsidR="005F08B9" w:rsidRPr="00036B9B" w:rsidRDefault="005F08B9" w:rsidP="00036B9B">
            <w:pPr>
              <w:jc w:val="both"/>
              <w:rPr>
                <w:color w:val="000000"/>
                <w:lang w:eastAsia="lt-LT"/>
              </w:rPr>
            </w:pPr>
            <w:r w:rsidRPr="00036B9B">
              <w:rPr>
                <w:color w:val="000000"/>
                <w:lang w:eastAsia="lt-LT"/>
              </w:rPr>
              <w:t>41</w:t>
            </w:r>
          </w:p>
        </w:tc>
        <w:tc>
          <w:tcPr>
            <w:tcW w:w="1798" w:type="dxa"/>
          </w:tcPr>
          <w:p w14:paraId="1AEED18D" w14:textId="77777777" w:rsidR="005F08B9" w:rsidRPr="00036B9B" w:rsidRDefault="005F08B9" w:rsidP="00036B9B">
            <w:pPr>
              <w:jc w:val="both"/>
              <w:rPr>
                <w:color w:val="000000"/>
                <w:lang w:eastAsia="lt-LT"/>
              </w:rPr>
            </w:pPr>
            <w:r>
              <w:rPr>
                <w:color w:val="000000"/>
                <w:lang w:eastAsia="lt-LT"/>
              </w:rPr>
              <w:t>27</w:t>
            </w:r>
          </w:p>
        </w:tc>
        <w:tc>
          <w:tcPr>
            <w:tcW w:w="2174" w:type="dxa"/>
            <w:noWrap/>
            <w:hideMark/>
          </w:tcPr>
          <w:p w14:paraId="56E9D9E6" w14:textId="77777777" w:rsidR="005F08B9" w:rsidRPr="00036B9B" w:rsidRDefault="005F08B9" w:rsidP="00036B9B">
            <w:pPr>
              <w:jc w:val="both"/>
              <w:rPr>
                <w:color w:val="000000"/>
                <w:lang w:eastAsia="lt-LT"/>
              </w:rPr>
            </w:pPr>
            <w:r w:rsidRPr="00036B9B">
              <w:rPr>
                <w:color w:val="000000"/>
                <w:lang w:eastAsia="lt-LT"/>
              </w:rPr>
              <w:t>419</w:t>
            </w:r>
            <w:r>
              <w:rPr>
                <w:color w:val="000000"/>
                <w:lang w:eastAsia="lt-LT"/>
              </w:rPr>
              <w:t xml:space="preserve"> </w:t>
            </w:r>
            <w:r w:rsidRPr="00036B9B">
              <w:rPr>
                <w:color w:val="000000"/>
                <w:lang w:eastAsia="lt-LT"/>
              </w:rPr>
              <w:t>238,98</w:t>
            </w:r>
          </w:p>
        </w:tc>
        <w:tc>
          <w:tcPr>
            <w:tcW w:w="2072" w:type="dxa"/>
            <w:noWrap/>
            <w:hideMark/>
          </w:tcPr>
          <w:p w14:paraId="645937ED" w14:textId="77777777" w:rsidR="005F08B9" w:rsidRPr="00036B9B" w:rsidRDefault="005F08B9" w:rsidP="00036B9B">
            <w:pPr>
              <w:jc w:val="both"/>
              <w:rPr>
                <w:color w:val="000000"/>
                <w:lang w:eastAsia="lt-LT"/>
              </w:rPr>
            </w:pPr>
            <w:r w:rsidRPr="00036B9B">
              <w:rPr>
                <w:color w:val="000000"/>
                <w:lang w:eastAsia="lt-LT"/>
              </w:rPr>
              <w:t>0,30</w:t>
            </w:r>
          </w:p>
        </w:tc>
      </w:tr>
      <w:tr w:rsidR="005F08B9" w:rsidRPr="00036B9B" w14:paraId="13ED8EB3" w14:textId="77777777" w:rsidTr="00E811AD">
        <w:trPr>
          <w:trHeight w:val="290"/>
        </w:trPr>
        <w:tc>
          <w:tcPr>
            <w:tcW w:w="2487" w:type="dxa"/>
            <w:noWrap/>
            <w:hideMark/>
          </w:tcPr>
          <w:p w14:paraId="5BE40D97" w14:textId="77777777" w:rsidR="005F08B9" w:rsidRPr="00036B9B" w:rsidRDefault="005F08B9" w:rsidP="00036B9B">
            <w:pPr>
              <w:jc w:val="both"/>
              <w:rPr>
                <w:color w:val="000000"/>
                <w:lang w:eastAsia="lt-LT"/>
              </w:rPr>
            </w:pPr>
            <w:r w:rsidRPr="00036B9B">
              <w:rPr>
                <w:color w:val="000000"/>
                <w:lang w:eastAsia="lt-LT"/>
              </w:rPr>
              <w:t>MVPŽ</w:t>
            </w:r>
          </w:p>
        </w:tc>
        <w:tc>
          <w:tcPr>
            <w:tcW w:w="1097" w:type="dxa"/>
            <w:noWrap/>
            <w:hideMark/>
          </w:tcPr>
          <w:p w14:paraId="56EA3305" w14:textId="77777777" w:rsidR="005F08B9" w:rsidRPr="00036B9B" w:rsidRDefault="005F08B9" w:rsidP="00036B9B">
            <w:pPr>
              <w:jc w:val="both"/>
              <w:rPr>
                <w:color w:val="000000"/>
                <w:lang w:eastAsia="lt-LT"/>
              </w:rPr>
            </w:pPr>
            <w:r w:rsidRPr="00036B9B">
              <w:rPr>
                <w:color w:val="000000"/>
                <w:lang w:eastAsia="lt-LT"/>
              </w:rPr>
              <w:t>600</w:t>
            </w:r>
          </w:p>
        </w:tc>
        <w:tc>
          <w:tcPr>
            <w:tcW w:w="1798" w:type="dxa"/>
          </w:tcPr>
          <w:p w14:paraId="71B4267F" w14:textId="77777777" w:rsidR="005F08B9" w:rsidRPr="00036B9B" w:rsidRDefault="005F08B9" w:rsidP="00036B9B">
            <w:pPr>
              <w:jc w:val="both"/>
              <w:rPr>
                <w:color w:val="000000"/>
                <w:lang w:eastAsia="lt-LT"/>
              </w:rPr>
            </w:pPr>
            <w:r>
              <w:rPr>
                <w:color w:val="000000"/>
                <w:lang w:eastAsia="lt-LT"/>
              </w:rPr>
              <w:t>81</w:t>
            </w:r>
          </w:p>
        </w:tc>
        <w:tc>
          <w:tcPr>
            <w:tcW w:w="2174" w:type="dxa"/>
            <w:noWrap/>
            <w:hideMark/>
          </w:tcPr>
          <w:p w14:paraId="2735D49E" w14:textId="77777777" w:rsidR="005F08B9" w:rsidRPr="00036B9B" w:rsidRDefault="005F08B9" w:rsidP="00036B9B">
            <w:pPr>
              <w:jc w:val="both"/>
              <w:rPr>
                <w:color w:val="000000"/>
                <w:lang w:eastAsia="lt-LT"/>
              </w:rPr>
            </w:pPr>
            <w:r w:rsidRPr="00036B9B">
              <w:rPr>
                <w:color w:val="000000"/>
                <w:lang w:eastAsia="lt-LT"/>
              </w:rPr>
              <w:t>110</w:t>
            </w:r>
            <w:r>
              <w:rPr>
                <w:color w:val="000000"/>
                <w:lang w:eastAsia="lt-LT"/>
              </w:rPr>
              <w:t xml:space="preserve"> </w:t>
            </w:r>
            <w:r w:rsidRPr="00036B9B">
              <w:rPr>
                <w:color w:val="000000"/>
                <w:lang w:eastAsia="lt-LT"/>
              </w:rPr>
              <w:t>055,44</w:t>
            </w:r>
          </w:p>
        </w:tc>
        <w:tc>
          <w:tcPr>
            <w:tcW w:w="2072" w:type="dxa"/>
            <w:noWrap/>
            <w:hideMark/>
          </w:tcPr>
          <w:p w14:paraId="572A7C40" w14:textId="77777777" w:rsidR="005F08B9" w:rsidRPr="00036B9B" w:rsidRDefault="005F08B9" w:rsidP="00036B9B">
            <w:pPr>
              <w:jc w:val="both"/>
              <w:rPr>
                <w:color w:val="000000"/>
                <w:lang w:eastAsia="lt-LT"/>
              </w:rPr>
            </w:pPr>
            <w:r w:rsidRPr="00036B9B">
              <w:rPr>
                <w:color w:val="000000"/>
                <w:lang w:eastAsia="lt-LT"/>
              </w:rPr>
              <w:t>0,08</w:t>
            </w:r>
          </w:p>
        </w:tc>
      </w:tr>
      <w:tr w:rsidR="005F08B9" w:rsidRPr="00036B9B" w14:paraId="60AC1387" w14:textId="77777777" w:rsidTr="00E811AD">
        <w:trPr>
          <w:trHeight w:val="290"/>
        </w:trPr>
        <w:tc>
          <w:tcPr>
            <w:tcW w:w="2487" w:type="dxa"/>
            <w:noWrap/>
            <w:hideMark/>
          </w:tcPr>
          <w:p w14:paraId="1B882EA3" w14:textId="77777777" w:rsidR="005F08B9" w:rsidRPr="00127525" w:rsidRDefault="005F08B9" w:rsidP="00036B9B">
            <w:pPr>
              <w:jc w:val="both"/>
              <w:rPr>
                <w:b/>
                <w:bCs/>
                <w:color w:val="000000"/>
                <w:lang w:eastAsia="lt-LT"/>
              </w:rPr>
            </w:pPr>
            <w:r w:rsidRPr="00127525">
              <w:rPr>
                <w:b/>
                <w:bCs/>
                <w:color w:val="000000"/>
                <w:lang w:eastAsia="lt-LT"/>
              </w:rPr>
              <w:t>Bendroji suma</w:t>
            </w:r>
          </w:p>
        </w:tc>
        <w:tc>
          <w:tcPr>
            <w:tcW w:w="1097" w:type="dxa"/>
            <w:noWrap/>
            <w:hideMark/>
          </w:tcPr>
          <w:p w14:paraId="5271F33D" w14:textId="77777777" w:rsidR="005F08B9" w:rsidRPr="00127525" w:rsidRDefault="005F08B9" w:rsidP="00036B9B">
            <w:pPr>
              <w:jc w:val="both"/>
              <w:rPr>
                <w:b/>
                <w:bCs/>
                <w:color w:val="000000"/>
                <w:lang w:eastAsia="lt-LT"/>
              </w:rPr>
            </w:pPr>
            <w:r w:rsidRPr="00127525">
              <w:rPr>
                <w:b/>
                <w:bCs/>
                <w:color w:val="000000"/>
                <w:lang w:eastAsia="lt-LT"/>
              </w:rPr>
              <w:t>2248</w:t>
            </w:r>
          </w:p>
        </w:tc>
        <w:tc>
          <w:tcPr>
            <w:tcW w:w="1798" w:type="dxa"/>
          </w:tcPr>
          <w:p w14:paraId="788D44B2" w14:textId="77777777" w:rsidR="005F08B9" w:rsidRPr="00127525" w:rsidRDefault="005F08B9" w:rsidP="00036B9B">
            <w:pPr>
              <w:jc w:val="both"/>
              <w:rPr>
                <w:b/>
                <w:bCs/>
                <w:color w:val="000000"/>
                <w:lang w:eastAsia="lt-LT"/>
              </w:rPr>
            </w:pPr>
          </w:p>
        </w:tc>
        <w:tc>
          <w:tcPr>
            <w:tcW w:w="2174" w:type="dxa"/>
            <w:noWrap/>
            <w:hideMark/>
          </w:tcPr>
          <w:p w14:paraId="5E916330" w14:textId="77777777" w:rsidR="005F08B9" w:rsidRPr="00127525" w:rsidRDefault="005F08B9" w:rsidP="00036B9B">
            <w:pPr>
              <w:jc w:val="both"/>
              <w:rPr>
                <w:b/>
                <w:bCs/>
                <w:color w:val="000000"/>
                <w:lang w:eastAsia="lt-LT"/>
              </w:rPr>
            </w:pPr>
            <w:bookmarkStart w:id="0" w:name="_Hlk181611918"/>
            <w:r w:rsidRPr="00127525">
              <w:rPr>
                <w:b/>
                <w:bCs/>
                <w:color w:val="000000"/>
                <w:lang w:eastAsia="lt-LT"/>
              </w:rPr>
              <w:t>140</w:t>
            </w:r>
            <w:r>
              <w:rPr>
                <w:b/>
                <w:bCs/>
                <w:color w:val="000000"/>
                <w:lang w:eastAsia="lt-LT"/>
              </w:rPr>
              <w:t xml:space="preserve"> </w:t>
            </w:r>
            <w:r w:rsidRPr="00127525">
              <w:rPr>
                <w:b/>
                <w:bCs/>
                <w:color w:val="000000"/>
                <w:lang w:eastAsia="lt-LT"/>
              </w:rPr>
              <w:t>463</w:t>
            </w:r>
            <w:r>
              <w:rPr>
                <w:b/>
                <w:bCs/>
                <w:color w:val="000000"/>
                <w:lang w:eastAsia="lt-LT"/>
              </w:rPr>
              <w:t xml:space="preserve"> </w:t>
            </w:r>
            <w:r w:rsidRPr="00127525">
              <w:rPr>
                <w:b/>
                <w:bCs/>
                <w:color w:val="000000"/>
                <w:lang w:eastAsia="lt-LT"/>
              </w:rPr>
              <w:t>376,5</w:t>
            </w:r>
            <w:bookmarkEnd w:id="0"/>
          </w:p>
        </w:tc>
        <w:tc>
          <w:tcPr>
            <w:tcW w:w="2072" w:type="dxa"/>
            <w:noWrap/>
            <w:hideMark/>
          </w:tcPr>
          <w:p w14:paraId="0A971277" w14:textId="77777777" w:rsidR="005F08B9" w:rsidRPr="00127525" w:rsidRDefault="005F08B9" w:rsidP="00036B9B">
            <w:pPr>
              <w:jc w:val="both"/>
              <w:rPr>
                <w:b/>
                <w:bCs/>
                <w:color w:val="000000"/>
                <w:lang w:eastAsia="lt-LT"/>
              </w:rPr>
            </w:pPr>
            <w:r w:rsidRPr="00127525">
              <w:rPr>
                <w:b/>
                <w:bCs/>
                <w:color w:val="000000"/>
                <w:lang w:eastAsia="lt-LT"/>
              </w:rPr>
              <w:t>100,00</w:t>
            </w:r>
          </w:p>
        </w:tc>
      </w:tr>
    </w:tbl>
    <w:p w14:paraId="44761A01" w14:textId="77777777" w:rsidR="005F08B9" w:rsidRDefault="005F08B9" w:rsidP="003C0D2D">
      <w:pPr>
        <w:jc w:val="both"/>
        <w:rPr>
          <w:color w:val="000000"/>
          <w:lang w:eastAsia="lt-LT"/>
        </w:rPr>
      </w:pPr>
    </w:p>
    <w:p w14:paraId="01D06ACA" w14:textId="77777777" w:rsidR="005F08B9" w:rsidRDefault="005F08B9" w:rsidP="0035194C">
      <w:pPr>
        <w:ind w:firstLine="1298"/>
        <w:jc w:val="both"/>
        <w:rPr>
          <w:color w:val="000000"/>
          <w:lang w:eastAsia="lt-LT"/>
        </w:rPr>
      </w:pPr>
      <w:r>
        <w:rPr>
          <w:color w:val="000000"/>
          <w:lang w:eastAsia="lt-LT"/>
        </w:rPr>
        <w:lastRenderedPageBreak/>
        <w:t xml:space="preserve">Pastaba: </w:t>
      </w:r>
      <w:r w:rsidRPr="00B5072E">
        <w:rPr>
          <w:b/>
          <w:bCs/>
          <w:color w:val="000000"/>
          <w:lang w:eastAsia="lt-LT"/>
        </w:rPr>
        <w:t>PPS</w:t>
      </w:r>
      <w:r w:rsidRPr="00B5072E">
        <w:rPr>
          <w:color w:val="000000"/>
          <w:lang w:eastAsia="lt-LT"/>
        </w:rPr>
        <w:t xml:space="preserve"> - pagrindinės sutartys, sudarytos pagal preliminariąsias sutartis arba </w:t>
      </w:r>
      <w:r w:rsidRPr="00FD4BAA">
        <w:rPr>
          <w:color w:val="000000"/>
          <w:u w:val="single"/>
          <w:lang w:eastAsia="lt-LT"/>
        </w:rPr>
        <w:t>DPS pagrindu</w:t>
      </w:r>
      <w:r w:rsidRPr="00B5072E">
        <w:rPr>
          <w:color w:val="000000"/>
          <w:lang w:eastAsia="lt-LT"/>
        </w:rPr>
        <w:t>;</w:t>
      </w:r>
      <w:r>
        <w:rPr>
          <w:color w:val="000000"/>
          <w:lang w:eastAsia="lt-LT"/>
        </w:rPr>
        <w:t xml:space="preserve"> </w:t>
      </w:r>
      <w:r w:rsidRPr="00B5072E">
        <w:rPr>
          <w:b/>
          <w:bCs/>
          <w:color w:val="000000"/>
          <w:lang w:eastAsia="lt-LT"/>
        </w:rPr>
        <w:t>TSP</w:t>
      </w:r>
      <w:r w:rsidRPr="00B5072E">
        <w:rPr>
          <w:color w:val="000000"/>
          <w:lang w:eastAsia="lt-LT"/>
        </w:rPr>
        <w:t> - sutartys, sudarytos įvykdžius tarptautinius ir supaprastintus pirkimus; </w:t>
      </w:r>
      <w:r w:rsidRPr="00B5072E">
        <w:rPr>
          <w:b/>
          <w:bCs/>
          <w:color w:val="000000"/>
          <w:lang w:eastAsia="lt-LT"/>
        </w:rPr>
        <w:t>MVP</w:t>
      </w:r>
      <w:r w:rsidRPr="00B5072E">
        <w:rPr>
          <w:color w:val="000000"/>
          <w:lang w:eastAsia="lt-LT"/>
        </w:rPr>
        <w:t> – raštu sudarytos sutartys, įvykdžius mažos vertės pirkimus; </w:t>
      </w:r>
      <w:r w:rsidRPr="00B5072E">
        <w:rPr>
          <w:b/>
          <w:bCs/>
          <w:color w:val="000000"/>
          <w:lang w:eastAsia="lt-LT"/>
        </w:rPr>
        <w:t>SPŽ</w:t>
      </w:r>
      <w:r w:rsidRPr="00B5072E">
        <w:rPr>
          <w:color w:val="000000"/>
          <w:lang w:eastAsia="lt-LT"/>
        </w:rPr>
        <w:t> - žodžiu sudarytos sutartys, įvykdžius supaprastintos vertės (išskyrus mažos vertės) pirkimus; </w:t>
      </w:r>
      <w:r w:rsidRPr="00B5072E">
        <w:rPr>
          <w:b/>
          <w:bCs/>
          <w:color w:val="000000"/>
          <w:lang w:eastAsia="lt-LT"/>
        </w:rPr>
        <w:t>MVPŽ</w:t>
      </w:r>
      <w:r w:rsidRPr="00B5072E">
        <w:rPr>
          <w:color w:val="000000"/>
          <w:lang w:eastAsia="lt-LT"/>
        </w:rPr>
        <w:t> - žodžiu sudarytos sutartys, įvykdžius mažos vertės pirkimus</w:t>
      </w:r>
      <w:r>
        <w:rPr>
          <w:color w:val="000000"/>
          <w:lang w:eastAsia="lt-LT"/>
        </w:rPr>
        <w:t>.</w:t>
      </w:r>
    </w:p>
    <w:p w14:paraId="339D735E" w14:textId="77777777" w:rsidR="005F08B9" w:rsidRDefault="005F08B9" w:rsidP="0035194C">
      <w:pPr>
        <w:ind w:firstLine="1298"/>
        <w:jc w:val="both"/>
        <w:rPr>
          <w:color w:val="000000"/>
          <w:lang w:eastAsia="lt-LT"/>
        </w:rPr>
      </w:pPr>
      <w:r>
        <w:rPr>
          <w:color w:val="000000"/>
          <w:lang w:eastAsia="lt-LT"/>
        </w:rPr>
        <w:tab/>
        <w:t xml:space="preserve">CVP IS duomenimis analizuojamu laikotarpiu buvo atlikti 244 sutarčių pakeitimai susiję su 150 pagrindinių (keičiamųjų) sutarčių. Daugiausia pakeitimų 156 yra atlikta sutartyse susijusiuose su darbais (156) bei paslaugomis (76). </w:t>
      </w:r>
    </w:p>
    <w:p w14:paraId="3A5FA888" w14:textId="77777777" w:rsidR="005F08B9" w:rsidRDefault="005F08B9" w:rsidP="009B30D9">
      <w:pPr>
        <w:jc w:val="both"/>
        <w:rPr>
          <w:color w:val="000000"/>
          <w:lang w:eastAsia="lt-LT"/>
        </w:rPr>
      </w:pPr>
    </w:p>
    <w:p w14:paraId="02D1298D" w14:textId="77777777" w:rsidR="005F08B9" w:rsidRDefault="005F08B9" w:rsidP="00D85726">
      <w:pPr>
        <w:jc w:val="both"/>
        <w:rPr>
          <w:color w:val="000000"/>
          <w:lang w:eastAsia="lt-LT"/>
        </w:rPr>
      </w:pPr>
      <w:r>
        <w:rPr>
          <w:color w:val="000000"/>
          <w:lang w:eastAsia="lt-LT"/>
        </w:rPr>
        <w:t>Lentelė Nr. 2. Sutarčių pakeitimų skaičius:</w:t>
      </w:r>
    </w:p>
    <w:tbl>
      <w:tblPr>
        <w:tblStyle w:val="Lentelstinklelis"/>
        <w:tblW w:w="9493" w:type="dxa"/>
        <w:tblLayout w:type="fixed"/>
        <w:tblLook w:val="04A0" w:firstRow="1" w:lastRow="0" w:firstColumn="1" w:lastColumn="0" w:noHBand="0" w:noVBand="1"/>
      </w:tblPr>
      <w:tblGrid>
        <w:gridCol w:w="3539"/>
        <w:gridCol w:w="1276"/>
        <w:gridCol w:w="1276"/>
        <w:gridCol w:w="1417"/>
        <w:gridCol w:w="1985"/>
      </w:tblGrid>
      <w:tr w:rsidR="005F08B9" w14:paraId="308C76DD" w14:textId="77777777" w:rsidTr="0056199F">
        <w:trPr>
          <w:trHeight w:val="265"/>
        </w:trPr>
        <w:tc>
          <w:tcPr>
            <w:tcW w:w="3539" w:type="dxa"/>
            <w:vMerge w:val="restart"/>
          </w:tcPr>
          <w:p w14:paraId="2D33A5EB" w14:textId="77777777" w:rsidR="005F08B9" w:rsidRDefault="005F08B9" w:rsidP="009A5E18">
            <w:pPr>
              <w:jc w:val="both"/>
            </w:pPr>
            <w:r>
              <w:t xml:space="preserve">Pagrindinėse sutartyse atliktų pakeitimų skaičius </w:t>
            </w:r>
          </w:p>
        </w:tc>
        <w:tc>
          <w:tcPr>
            <w:tcW w:w="3969" w:type="dxa"/>
            <w:gridSpan w:val="3"/>
          </w:tcPr>
          <w:p w14:paraId="3170FBD8" w14:textId="77777777" w:rsidR="005F08B9" w:rsidRDefault="005F08B9" w:rsidP="009A5E18">
            <w:pPr>
              <w:jc w:val="both"/>
            </w:pPr>
            <w:r>
              <w:t>Atvejų skaičius pagal sutarčių tipą</w:t>
            </w:r>
          </w:p>
        </w:tc>
        <w:tc>
          <w:tcPr>
            <w:tcW w:w="1985" w:type="dxa"/>
            <w:vMerge w:val="restart"/>
          </w:tcPr>
          <w:p w14:paraId="567A6549" w14:textId="77777777" w:rsidR="005F08B9" w:rsidRDefault="005F08B9" w:rsidP="009A5E18">
            <w:pPr>
              <w:jc w:val="both"/>
            </w:pPr>
            <w:r>
              <w:t>Viso:</w:t>
            </w:r>
          </w:p>
        </w:tc>
      </w:tr>
      <w:tr w:rsidR="005F08B9" w14:paraId="1BB4CB1D" w14:textId="77777777" w:rsidTr="004A20D6">
        <w:trPr>
          <w:trHeight w:val="292"/>
        </w:trPr>
        <w:tc>
          <w:tcPr>
            <w:tcW w:w="3539" w:type="dxa"/>
            <w:vMerge/>
          </w:tcPr>
          <w:p w14:paraId="17B8D1DB" w14:textId="77777777" w:rsidR="005F08B9" w:rsidRDefault="005F08B9" w:rsidP="00EB153B">
            <w:pPr>
              <w:jc w:val="both"/>
            </w:pPr>
          </w:p>
        </w:tc>
        <w:tc>
          <w:tcPr>
            <w:tcW w:w="1276" w:type="dxa"/>
          </w:tcPr>
          <w:p w14:paraId="285782AC" w14:textId="77777777" w:rsidR="005F08B9" w:rsidRDefault="005F08B9" w:rsidP="00EB153B">
            <w:pPr>
              <w:jc w:val="both"/>
            </w:pPr>
            <w:r>
              <w:t>Darbai</w:t>
            </w:r>
          </w:p>
        </w:tc>
        <w:tc>
          <w:tcPr>
            <w:tcW w:w="1276" w:type="dxa"/>
          </w:tcPr>
          <w:p w14:paraId="403CB83B" w14:textId="77777777" w:rsidR="005F08B9" w:rsidRDefault="005F08B9" w:rsidP="00EB153B">
            <w:pPr>
              <w:jc w:val="both"/>
            </w:pPr>
            <w:r>
              <w:t>Paslaugos</w:t>
            </w:r>
          </w:p>
        </w:tc>
        <w:tc>
          <w:tcPr>
            <w:tcW w:w="1417" w:type="dxa"/>
          </w:tcPr>
          <w:p w14:paraId="74748EAA" w14:textId="77777777" w:rsidR="005F08B9" w:rsidRDefault="005F08B9" w:rsidP="00EB153B">
            <w:pPr>
              <w:jc w:val="both"/>
            </w:pPr>
            <w:r>
              <w:t>Prekės</w:t>
            </w:r>
          </w:p>
        </w:tc>
        <w:tc>
          <w:tcPr>
            <w:tcW w:w="1985" w:type="dxa"/>
            <w:vMerge/>
          </w:tcPr>
          <w:p w14:paraId="36920ACA" w14:textId="77777777" w:rsidR="005F08B9" w:rsidRDefault="005F08B9" w:rsidP="00EB153B">
            <w:pPr>
              <w:jc w:val="both"/>
            </w:pPr>
          </w:p>
        </w:tc>
      </w:tr>
      <w:tr w:rsidR="005F08B9" w14:paraId="413947B6" w14:textId="77777777" w:rsidTr="004A20D6">
        <w:tc>
          <w:tcPr>
            <w:tcW w:w="3539" w:type="dxa"/>
          </w:tcPr>
          <w:p w14:paraId="01E0E850" w14:textId="77777777" w:rsidR="005F08B9" w:rsidRDefault="005F08B9" w:rsidP="00EB153B">
            <w:pPr>
              <w:jc w:val="both"/>
            </w:pPr>
            <w:r>
              <w:t>11 pakeitimų sutartyje</w:t>
            </w:r>
          </w:p>
        </w:tc>
        <w:tc>
          <w:tcPr>
            <w:tcW w:w="1276" w:type="dxa"/>
          </w:tcPr>
          <w:p w14:paraId="2C3CF132" w14:textId="77777777" w:rsidR="005F08B9" w:rsidRDefault="005F08B9" w:rsidP="00EB153B">
            <w:pPr>
              <w:jc w:val="center"/>
            </w:pPr>
            <w:r>
              <w:t>1</w:t>
            </w:r>
          </w:p>
        </w:tc>
        <w:tc>
          <w:tcPr>
            <w:tcW w:w="1276" w:type="dxa"/>
          </w:tcPr>
          <w:p w14:paraId="38FDE47B" w14:textId="77777777" w:rsidR="005F08B9" w:rsidRDefault="005F08B9" w:rsidP="00EB153B">
            <w:pPr>
              <w:jc w:val="center"/>
            </w:pPr>
            <w:r>
              <w:t>-</w:t>
            </w:r>
          </w:p>
        </w:tc>
        <w:tc>
          <w:tcPr>
            <w:tcW w:w="1417" w:type="dxa"/>
          </w:tcPr>
          <w:p w14:paraId="7F3320F1" w14:textId="77777777" w:rsidR="005F08B9" w:rsidRDefault="005F08B9" w:rsidP="00EB153B">
            <w:pPr>
              <w:jc w:val="center"/>
            </w:pPr>
            <w:r>
              <w:t>-</w:t>
            </w:r>
          </w:p>
        </w:tc>
        <w:tc>
          <w:tcPr>
            <w:tcW w:w="1985" w:type="dxa"/>
          </w:tcPr>
          <w:p w14:paraId="6783AAB8" w14:textId="77777777" w:rsidR="005F08B9" w:rsidRDefault="005F08B9" w:rsidP="00EB153B">
            <w:pPr>
              <w:jc w:val="center"/>
            </w:pPr>
            <w:r>
              <w:t>1</w:t>
            </w:r>
          </w:p>
        </w:tc>
      </w:tr>
      <w:tr w:rsidR="005F08B9" w14:paraId="4A547AEC" w14:textId="77777777" w:rsidTr="004A20D6">
        <w:tc>
          <w:tcPr>
            <w:tcW w:w="3539" w:type="dxa"/>
          </w:tcPr>
          <w:p w14:paraId="4D80D60D" w14:textId="77777777" w:rsidR="005F08B9" w:rsidRDefault="005F08B9" w:rsidP="00EB153B">
            <w:pPr>
              <w:jc w:val="both"/>
            </w:pPr>
            <w:r>
              <w:t>7 pakeitimai sutartyje</w:t>
            </w:r>
          </w:p>
        </w:tc>
        <w:tc>
          <w:tcPr>
            <w:tcW w:w="1276" w:type="dxa"/>
          </w:tcPr>
          <w:p w14:paraId="62A08EC2" w14:textId="77777777" w:rsidR="005F08B9" w:rsidRDefault="005F08B9" w:rsidP="00EB153B">
            <w:pPr>
              <w:jc w:val="center"/>
            </w:pPr>
            <w:r>
              <w:t>1</w:t>
            </w:r>
          </w:p>
        </w:tc>
        <w:tc>
          <w:tcPr>
            <w:tcW w:w="1276" w:type="dxa"/>
          </w:tcPr>
          <w:p w14:paraId="449180BE" w14:textId="77777777" w:rsidR="005F08B9" w:rsidRDefault="005F08B9" w:rsidP="00EB153B">
            <w:pPr>
              <w:jc w:val="center"/>
            </w:pPr>
            <w:r>
              <w:t>-</w:t>
            </w:r>
          </w:p>
        </w:tc>
        <w:tc>
          <w:tcPr>
            <w:tcW w:w="1417" w:type="dxa"/>
          </w:tcPr>
          <w:p w14:paraId="1D04D1D1" w14:textId="77777777" w:rsidR="005F08B9" w:rsidRDefault="005F08B9" w:rsidP="00EB153B">
            <w:pPr>
              <w:jc w:val="center"/>
            </w:pPr>
            <w:r>
              <w:t>-</w:t>
            </w:r>
          </w:p>
        </w:tc>
        <w:tc>
          <w:tcPr>
            <w:tcW w:w="1985" w:type="dxa"/>
          </w:tcPr>
          <w:p w14:paraId="5CF1FBC4" w14:textId="77777777" w:rsidR="005F08B9" w:rsidRDefault="005F08B9" w:rsidP="00EB153B">
            <w:pPr>
              <w:jc w:val="center"/>
            </w:pPr>
            <w:r>
              <w:t>1</w:t>
            </w:r>
          </w:p>
        </w:tc>
      </w:tr>
      <w:tr w:rsidR="005F08B9" w14:paraId="7CBE483D" w14:textId="77777777" w:rsidTr="004A20D6">
        <w:tc>
          <w:tcPr>
            <w:tcW w:w="3539" w:type="dxa"/>
          </w:tcPr>
          <w:p w14:paraId="25FC9F14" w14:textId="77777777" w:rsidR="005F08B9" w:rsidRDefault="005F08B9" w:rsidP="00EB153B">
            <w:pPr>
              <w:jc w:val="both"/>
            </w:pPr>
            <w:r>
              <w:t>6 pakeitimai sutartyje</w:t>
            </w:r>
          </w:p>
        </w:tc>
        <w:tc>
          <w:tcPr>
            <w:tcW w:w="1276" w:type="dxa"/>
          </w:tcPr>
          <w:p w14:paraId="676F98F5" w14:textId="77777777" w:rsidR="005F08B9" w:rsidRDefault="005F08B9" w:rsidP="00EB153B">
            <w:pPr>
              <w:jc w:val="center"/>
            </w:pPr>
            <w:r>
              <w:t>1</w:t>
            </w:r>
          </w:p>
        </w:tc>
        <w:tc>
          <w:tcPr>
            <w:tcW w:w="1276" w:type="dxa"/>
          </w:tcPr>
          <w:p w14:paraId="3F4BCEEA" w14:textId="77777777" w:rsidR="005F08B9" w:rsidRDefault="005F08B9" w:rsidP="00EB153B">
            <w:pPr>
              <w:jc w:val="center"/>
            </w:pPr>
            <w:r>
              <w:t>2</w:t>
            </w:r>
          </w:p>
        </w:tc>
        <w:tc>
          <w:tcPr>
            <w:tcW w:w="1417" w:type="dxa"/>
          </w:tcPr>
          <w:p w14:paraId="5A4DADAA" w14:textId="77777777" w:rsidR="005F08B9" w:rsidRDefault="005F08B9" w:rsidP="00EB153B">
            <w:pPr>
              <w:jc w:val="center"/>
            </w:pPr>
            <w:r>
              <w:t>-</w:t>
            </w:r>
          </w:p>
        </w:tc>
        <w:tc>
          <w:tcPr>
            <w:tcW w:w="1985" w:type="dxa"/>
          </w:tcPr>
          <w:p w14:paraId="710C379C" w14:textId="77777777" w:rsidR="005F08B9" w:rsidRDefault="005F08B9" w:rsidP="00EB153B">
            <w:pPr>
              <w:jc w:val="center"/>
            </w:pPr>
            <w:r>
              <w:t>3</w:t>
            </w:r>
          </w:p>
        </w:tc>
      </w:tr>
      <w:tr w:rsidR="005F08B9" w14:paraId="183A72EE" w14:textId="77777777" w:rsidTr="004A20D6">
        <w:tc>
          <w:tcPr>
            <w:tcW w:w="3539" w:type="dxa"/>
          </w:tcPr>
          <w:p w14:paraId="2AE65402" w14:textId="77777777" w:rsidR="005F08B9" w:rsidRDefault="005F08B9" w:rsidP="00EB153B">
            <w:pPr>
              <w:jc w:val="both"/>
            </w:pPr>
            <w:r>
              <w:t>5 pakeitimai sutartyje</w:t>
            </w:r>
          </w:p>
        </w:tc>
        <w:tc>
          <w:tcPr>
            <w:tcW w:w="1276" w:type="dxa"/>
          </w:tcPr>
          <w:p w14:paraId="61319057" w14:textId="77777777" w:rsidR="005F08B9" w:rsidRDefault="005F08B9" w:rsidP="00EB153B">
            <w:pPr>
              <w:jc w:val="center"/>
            </w:pPr>
            <w:r>
              <w:t>6</w:t>
            </w:r>
          </w:p>
        </w:tc>
        <w:tc>
          <w:tcPr>
            <w:tcW w:w="1276" w:type="dxa"/>
          </w:tcPr>
          <w:p w14:paraId="457B3B9D" w14:textId="77777777" w:rsidR="005F08B9" w:rsidRDefault="005F08B9" w:rsidP="00EB153B">
            <w:pPr>
              <w:jc w:val="center"/>
            </w:pPr>
            <w:r>
              <w:t>-</w:t>
            </w:r>
          </w:p>
        </w:tc>
        <w:tc>
          <w:tcPr>
            <w:tcW w:w="1417" w:type="dxa"/>
          </w:tcPr>
          <w:p w14:paraId="23AABFFE" w14:textId="77777777" w:rsidR="005F08B9" w:rsidRDefault="005F08B9" w:rsidP="00EB153B">
            <w:pPr>
              <w:jc w:val="center"/>
            </w:pPr>
            <w:r>
              <w:t>-</w:t>
            </w:r>
          </w:p>
        </w:tc>
        <w:tc>
          <w:tcPr>
            <w:tcW w:w="1985" w:type="dxa"/>
          </w:tcPr>
          <w:p w14:paraId="68943176" w14:textId="77777777" w:rsidR="005F08B9" w:rsidRDefault="005F08B9" w:rsidP="00EB153B">
            <w:pPr>
              <w:jc w:val="center"/>
            </w:pPr>
            <w:r>
              <w:t>6</w:t>
            </w:r>
          </w:p>
        </w:tc>
      </w:tr>
      <w:tr w:rsidR="005F08B9" w14:paraId="33CE332A" w14:textId="77777777" w:rsidTr="004A20D6">
        <w:tc>
          <w:tcPr>
            <w:tcW w:w="3539" w:type="dxa"/>
          </w:tcPr>
          <w:p w14:paraId="1557DFFE" w14:textId="77777777" w:rsidR="005F08B9" w:rsidRDefault="005F08B9" w:rsidP="00EB153B">
            <w:pPr>
              <w:jc w:val="both"/>
            </w:pPr>
            <w:r>
              <w:t>4 pakeitimai sutartyje</w:t>
            </w:r>
          </w:p>
        </w:tc>
        <w:tc>
          <w:tcPr>
            <w:tcW w:w="1276" w:type="dxa"/>
          </w:tcPr>
          <w:p w14:paraId="6738CA58" w14:textId="77777777" w:rsidR="005F08B9" w:rsidRDefault="005F08B9" w:rsidP="00EB153B">
            <w:pPr>
              <w:jc w:val="center"/>
            </w:pPr>
            <w:r>
              <w:t>2</w:t>
            </w:r>
          </w:p>
        </w:tc>
        <w:tc>
          <w:tcPr>
            <w:tcW w:w="1276" w:type="dxa"/>
          </w:tcPr>
          <w:p w14:paraId="08B77F38" w14:textId="77777777" w:rsidR="005F08B9" w:rsidRDefault="005F08B9" w:rsidP="00EB153B">
            <w:pPr>
              <w:jc w:val="center"/>
            </w:pPr>
            <w:r>
              <w:t>-</w:t>
            </w:r>
          </w:p>
        </w:tc>
        <w:tc>
          <w:tcPr>
            <w:tcW w:w="1417" w:type="dxa"/>
          </w:tcPr>
          <w:p w14:paraId="02983461" w14:textId="77777777" w:rsidR="005F08B9" w:rsidRDefault="005F08B9" w:rsidP="00EB153B">
            <w:pPr>
              <w:jc w:val="center"/>
            </w:pPr>
            <w:r>
              <w:t>-</w:t>
            </w:r>
          </w:p>
        </w:tc>
        <w:tc>
          <w:tcPr>
            <w:tcW w:w="1985" w:type="dxa"/>
          </w:tcPr>
          <w:p w14:paraId="241E2716" w14:textId="77777777" w:rsidR="005F08B9" w:rsidRDefault="005F08B9" w:rsidP="00EB153B">
            <w:pPr>
              <w:jc w:val="center"/>
            </w:pPr>
            <w:r>
              <w:t>2</w:t>
            </w:r>
          </w:p>
        </w:tc>
      </w:tr>
      <w:tr w:rsidR="005F08B9" w14:paraId="05D7FC2A" w14:textId="77777777" w:rsidTr="004A20D6">
        <w:tc>
          <w:tcPr>
            <w:tcW w:w="3539" w:type="dxa"/>
          </w:tcPr>
          <w:p w14:paraId="088D9745" w14:textId="77777777" w:rsidR="005F08B9" w:rsidRDefault="005F08B9" w:rsidP="00EB153B">
            <w:pPr>
              <w:jc w:val="both"/>
            </w:pPr>
            <w:r>
              <w:t>3 pakeitimai sutartyje</w:t>
            </w:r>
          </w:p>
        </w:tc>
        <w:tc>
          <w:tcPr>
            <w:tcW w:w="1276" w:type="dxa"/>
          </w:tcPr>
          <w:p w14:paraId="3AF0F0B5" w14:textId="77777777" w:rsidR="005F08B9" w:rsidRDefault="005F08B9" w:rsidP="00EB153B">
            <w:pPr>
              <w:jc w:val="center"/>
            </w:pPr>
            <w:r>
              <w:t>6</w:t>
            </w:r>
          </w:p>
        </w:tc>
        <w:tc>
          <w:tcPr>
            <w:tcW w:w="1276" w:type="dxa"/>
          </w:tcPr>
          <w:p w14:paraId="484F23E6" w14:textId="77777777" w:rsidR="005F08B9" w:rsidRDefault="005F08B9" w:rsidP="00EB153B">
            <w:pPr>
              <w:jc w:val="center"/>
            </w:pPr>
            <w:r>
              <w:t>2</w:t>
            </w:r>
          </w:p>
        </w:tc>
        <w:tc>
          <w:tcPr>
            <w:tcW w:w="1417" w:type="dxa"/>
          </w:tcPr>
          <w:p w14:paraId="1F2107B9" w14:textId="77777777" w:rsidR="005F08B9" w:rsidRDefault="005F08B9" w:rsidP="00EB153B">
            <w:pPr>
              <w:jc w:val="center"/>
            </w:pPr>
          </w:p>
        </w:tc>
        <w:tc>
          <w:tcPr>
            <w:tcW w:w="1985" w:type="dxa"/>
          </w:tcPr>
          <w:p w14:paraId="5131FD87" w14:textId="77777777" w:rsidR="005F08B9" w:rsidRDefault="005F08B9" w:rsidP="00EB153B">
            <w:pPr>
              <w:jc w:val="center"/>
            </w:pPr>
            <w:r>
              <w:t>8</w:t>
            </w:r>
          </w:p>
        </w:tc>
      </w:tr>
      <w:tr w:rsidR="005F08B9" w14:paraId="2BBF2FC4" w14:textId="77777777" w:rsidTr="004A20D6">
        <w:tc>
          <w:tcPr>
            <w:tcW w:w="3539" w:type="dxa"/>
          </w:tcPr>
          <w:p w14:paraId="49F17BBF" w14:textId="77777777" w:rsidR="005F08B9" w:rsidRDefault="005F08B9" w:rsidP="00EB153B">
            <w:pPr>
              <w:jc w:val="both"/>
            </w:pPr>
            <w:r>
              <w:t>2 pakeitimai sutartyje</w:t>
            </w:r>
          </w:p>
        </w:tc>
        <w:tc>
          <w:tcPr>
            <w:tcW w:w="1276" w:type="dxa"/>
          </w:tcPr>
          <w:p w14:paraId="502539D5" w14:textId="77777777" w:rsidR="005F08B9" w:rsidRDefault="005F08B9" w:rsidP="00EB153B">
            <w:pPr>
              <w:jc w:val="center"/>
            </w:pPr>
            <w:r>
              <w:t>7</w:t>
            </w:r>
          </w:p>
        </w:tc>
        <w:tc>
          <w:tcPr>
            <w:tcW w:w="1276" w:type="dxa"/>
          </w:tcPr>
          <w:p w14:paraId="3F288C5A" w14:textId="77777777" w:rsidR="005F08B9" w:rsidRDefault="005F08B9" w:rsidP="00EB153B">
            <w:pPr>
              <w:jc w:val="center"/>
            </w:pPr>
            <w:r>
              <w:t>10</w:t>
            </w:r>
          </w:p>
        </w:tc>
        <w:tc>
          <w:tcPr>
            <w:tcW w:w="1417" w:type="dxa"/>
          </w:tcPr>
          <w:p w14:paraId="119D28B9" w14:textId="77777777" w:rsidR="005F08B9" w:rsidRDefault="005F08B9" w:rsidP="00EB153B">
            <w:pPr>
              <w:jc w:val="center"/>
            </w:pPr>
          </w:p>
        </w:tc>
        <w:tc>
          <w:tcPr>
            <w:tcW w:w="1985" w:type="dxa"/>
          </w:tcPr>
          <w:p w14:paraId="552FF462" w14:textId="77777777" w:rsidR="005F08B9" w:rsidRDefault="005F08B9" w:rsidP="00EB153B">
            <w:pPr>
              <w:jc w:val="center"/>
            </w:pPr>
            <w:r>
              <w:t>17</w:t>
            </w:r>
          </w:p>
        </w:tc>
      </w:tr>
      <w:tr w:rsidR="005F08B9" w14:paraId="55A28D11" w14:textId="77777777" w:rsidTr="004A20D6">
        <w:tc>
          <w:tcPr>
            <w:tcW w:w="3539" w:type="dxa"/>
          </w:tcPr>
          <w:p w14:paraId="609835B6" w14:textId="77777777" w:rsidR="005F08B9" w:rsidRDefault="005F08B9" w:rsidP="00EB153B">
            <w:pPr>
              <w:jc w:val="both"/>
            </w:pPr>
            <w:r>
              <w:t>1 pakeitimas sutartyje</w:t>
            </w:r>
          </w:p>
        </w:tc>
        <w:tc>
          <w:tcPr>
            <w:tcW w:w="1276" w:type="dxa"/>
          </w:tcPr>
          <w:p w14:paraId="4A517A35" w14:textId="77777777" w:rsidR="005F08B9" w:rsidRDefault="005F08B9" w:rsidP="00EB153B">
            <w:pPr>
              <w:jc w:val="center"/>
            </w:pPr>
            <w:r>
              <w:t>62</w:t>
            </w:r>
          </w:p>
        </w:tc>
        <w:tc>
          <w:tcPr>
            <w:tcW w:w="1276" w:type="dxa"/>
          </w:tcPr>
          <w:p w14:paraId="32CA1D18" w14:textId="77777777" w:rsidR="005F08B9" w:rsidRDefault="005F08B9" w:rsidP="00EB153B">
            <w:pPr>
              <w:jc w:val="center"/>
            </w:pPr>
            <w:r>
              <w:t>38</w:t>
            </w:r>
          </w:p>
        </w:tc>
        <w:tc>
          <w:tcPr>
            <w:tcW w:w="1417" w:type="dxa"/>
          </w:tcPr>
          <w:p w14:paraId="0ECAF365" w14:textId="77777777" w:rsidR="005F08B9" w:rsidRDefault="005F08B9" w:rsidP="00EB153B">
            <w:pPr>
              <w:jc w:val="center"/>
            </w:pPr>
            <w:r>
              <w:t>12</w:t>
            </w:r>
          </w:p>
        </w:tc>
        <w:tc>
          <w:tcPr>
            <w:tcW w:w="1985" w:type="dxa"/>
          </w:tcPr>
          <w:p w14:paraId="1AE81CB8" w14:textId="77777777" w:rsidR="005F08B9" w:rsidRDefault="005F08B9" w:rsidP="00EB153B">
            <w:pPr>
              <w:jc w:val="center"/>
            </w:pPr>
            <w:r>
              <w:t>112</w:t>
            </w:r>
          </w:p>
        </w:tc>
      </w:tr>
      <w:tr w:rsidR="005F08B9" w14:paraId="661CC964" w14:textId="77777777" w:rsidTr="004A20D6">
        <w:tc>
          <w:tcPr>
            <w:tcW w:w="3539" w:type="dxa"/>
          </w:tcPr>
          <w:p w14:paraId="580AB74A" w14:textId="77777777" w:rsidR="005F08B9" w:rsidRPr="009D5F2B" w:rsidRDefault="005F08B9" w:rsidP="00EB153B">
            <w:pPr>
              <w:jc w:val="both"/>
              <w:rPr>
                <w:b/>
                <w:bCs/>
              </w:rPr>
            </w:pPr>
            <w:r w:rsidRPr="009D5F2B">
              <w:rPr>
                <w:b/>
                <w:bCs/>
              </w:rPr>
              <w:t>Viso:</w:t>
            </w:r>
          </w:p>
        </w:tc>
        <w:tc>
          <w:tcPr>
            <w:tcW w:w="1276" w:type="dxa"/>
          </w:tcPr>
          <w:p w14:paraId="2E26843A" w14:textId="77777777" w:rsidR="005F08B9" w:rsidRPr="006757FB" w:rsidRDefault="005F08B9" w:rsidP="00EB153B">
            <w:pPr>
              <w:jc w:val="center"/>
              <w:rPr>
                <w:b/>
                <w:bCs/>
              </w:rPr>
            </w:pPr>
          </w:p>
        </w:tc>
        <w:tc>
          <w:tcPr>
            <w:tcW w:w="1276" w:type="dxa"/>
          </w:tcPr>
          <w:p w14:paraId="16AB5F98" w14:textId="77777777" w:rsidR="005F08B9" w:rsidRPr="006757FB" w:rsidRDefault="005F08B9" w:rsidP="00EB153B">
            <w:pPr>
              <w:jc w:val="center"/>
              <w:rPr>
                <w:b/>
                <w:bCs/>
              </w:rPr>
            </w:pPr>
          </w:p>
        </w:tc>
        <w:tc>
          <w:tcPr>
            <w:tcW w:w="1417" w:type="dxa"/>
          </w:tcPr>
          <w:p w14:paraId="477EF860" w14:textId="77777777" w:rsidR="005F08B9" w:rsidRPr="006757FB" w:rsidRDefault="005F08B9" w:rsidP="00EB153B">
            <w:pPr>
              <w:jc w:val="center"/>
              <w:rPr>
                <w:b/>
                <w:bCs/>
              </w:rPr>
            </w:pPr>
          </w:p>
        </w:tc>
        <w:tc>
          <w:tcPr>
            <w:tcW w:w="1985" w:type="dxa"/>
          </w:tcPr>
          <w:p w14:paraId="6D0B5084" w14:textId="77777777" w:rsidR="005F08B9" w:rsidRPr="006757FB" w:rsidRDefault="005F08B9" w:rsidP="00EB153B">
            <w:pPr>
              <w:jc w:val="center"/>
              <w:rPr>
                <w:b/>
                <w:bCs/>
              </w:rPr>
            </w:pPr>
            <w:r>
              <w:rPr>
                <w:b/>
                <w:bCs/>
              </w:rPr>
              <w:t>244</w:t>
            </w:r>
          </w:p>
        </w:tc>
      </w:tr>
    </w:tbl>
    <w:p w14:paraId="796701D4" w14:textId="77777777" w:rsidR="005F08B9" w:rsidRDefault="005F08B9" w:rsidP="002B7AAF">
      <w:pPr>
        <w:ind w:firstLine="851"/>
        <w:jc w:val="both"/>
      </w:pPr>
    </w:p>
    <w:p w14:paraId="7FBE0F8F" w14:textId="77777777" w:rsidR="005F08B9" w:rsidRDefault="005F08B9" w:rsidP="0035194C">
      <w:pPr>
        <w:ind w:firstLine="1298"/>
        <w:jc w:val="both"/>
      </w:pPr>
      <w:r>
        <w:t>Atlikus sutarčių pakeitimų atliktų analizuojamu laikotarpiu turinio analizę nustatyta, kad analizuojamu laikotarpiu daugiausiai pakeitimų yra atlikta šiose sutartyse:</w:t>
      </w:r>
    </w:p>
    <w:p w14:paraId="3967D05E" w14:textId="77777777" w:rsidR="005F08B9" w:rsidRDefault="005F08B9" w:rsidP="005F08B9">
      <w:pPr>
        <w:pStyle w:val="Sraopastraipa"/>
        <w:numPr>
          <w:ilvl w:val="0"/>
          <w:numId w:val="36"/>
        </w:numPr>
        <w:spacing w:after="0" w:line="240" w:lineRule="auto"/>
        <w:ind w:left="0" w:firstLine="1298"/>
        <w:jc w:val="both"/>
      </w:pPr>
      <w:r>
        <w:t xml:space="preserve">Sutartyje Nr. </w:t>
      </w:r>
      <w:r w:rsidRPr="0019647E">
        <w:t>22-S1-1258</w:t>
      </w:r>
      <w:r>
        <w:t xml:space="preserve"> „ </w:t>
      </w:r>
      <w:r w:rsidRPr="00AF49BC">
        <w:t>VP-604 Administracinės paskirties pastato esančio adresu A. Juozapavičiaus pr. 57, Kaune, atnaujinimo (modernizavimo ir remonto) statybos darbų pirkimas</w:t>
      </w:r>
      <w:r>
        <w:t>“ – 11 pakeitimų. (keitėsi terminai, apimtys, laikas ir vertė). Dideli pakeitimų skaičių šioje sutartyje galėjo įtakoti 2023 m. gruodžio mėn. kilęs gaisras statybvietėje;</w:t>
      </w:r>
    </w:p>
    <w:p w14:paraId="5EB183E2" w14:textId="77777777" w:rsidR="005F08B9" w:rsidRDefault="005F08B9" w:rsidP="005F08B9">
      <w:pPr>
        <w:pStyle w:val="Sraopastraipa"/>
        <w:numPr>
          <w:ilvl w:val="0"/>
          <w:numId w:val="36"/>
        </w:numPr>
        <w:spacing w:after="0" w:line="240" w:lineRule="auto"/>
        <w:ind w:left="0" w:firstLine="1298"/>
        <w:jc w:val="both"/>
      </w:pPr>
      <w:r>
        <w:t xml:space="preserve">Sutartyje Nr. </w:t>
      </w:r>
      <w:r w:rsidRPr="00987407">
        <w:t>22-S1-1541</w:t>
      </w:r>
      <w:r>
        <w:t xml:space="preserve"> ,,</w:t>
      </w:r>
      <w:r w:rsidRPr="00FC38FC">
        <w:t xml:space="preserve"> VP-703 Administracinės paskirties pastato, esančio adresu A. Vivulskio g. 11, Vilniuje, atnaujinimo (modernizavimo ir remonto) statybos darbų pirkimas</w:t>
      </w:r>
      <w:r>
        <w:t>“ . Sutartyje atlikti 7 pakeitimai (apimties, termino, vertės);</w:t>
      </w:r>
    </w:p>
    <w:p w14:paraId="5B1D57DB" w14:textId="77777777" w:rsidR="005F08B9" w:rsidRDefault="005F08B9" w:rsidP="005F08B9">
      <w:pPr>
        <w:pStyle w:val="Sraopastraipa"/>
        <w:numPr>
          <w:ilvl w:val="0"/>
          <w:numId w:val="36"/>
        </w:numPr>
        <w:spacing w:after="0" w:line="240" w:lineRule="auto"/>
        <w:ind w:left="0" w:firstLine="1298"/>
        <w:jc w:val="both"/>
      </w:pPr>
      <w:r>
        <w:t xml:space="preserve">Sutartys </w:t>
      </w:r>
      <w:r w:rsidRPr="00E0719D">
        <w:t>24-S1-TVD-383</w:t>
      </w:r>
      <w:r>
        <w:t xml:space="preserve"> ir </w:t>
      </w:r>
      <w:r w:rsidRPr="00E0719D">
        <w:t>24-S1-TVD-383</w:t>
      </w:r>
      <w:r>
        <w:t xml:space="preserve">  „</w:t>
      </w:r>
      <w:r w:rsidRPr="002E17FA">
        <w:t xml:space="preserve">Statinio konstrukcijų ir inžinerinių sistemų techninė priežiūra (su standartu) Vilniaus regionas III </w:t>
      </w:r>
      <w:r>
        <w:t>ir II dalys, kuriuose atlikta po 6 pakeitimus susijusius su objektų kiekiu (vertė nekito).</w:t>
      </w:r>
    </w:p>
    <w:p w14:paraId="0FC055D6" w14:textId="77777777" w:rsidR="005F08B9" w:rsidRDefault="005F08B9" w:rsidP="005F08B9">
      <w:pPr>
        <w:pStyle w:val="Sraopastraipa"/>
        <w:numPr>
          <w:ilvl w:val="0"/>
          <w:numId w:val="36"/>
        </w:numPr>
        <w:spacing w:after="0" w:line="240" w:lineRule="auto"/>
        <w:ind w:left="0" w:firstLine="1298"/>
        <w:jc w:val="both"/>
      </w:pPr>
      <w:r>
        <w:t xml:space="preserve">Sutartis Nr. </w:t>
      </w:r>
      <w:r w:rsidRPr="00AD7471">
        <w:t>22-S1-1557</w:t>
      </w:r>
      <w:r>
        <w:t xml:space="preserve"> „</w:t>
      </w:r>
      <w:r w:rsidRPr="00AD7471">
        <w:t>VP-696 Administracinės paskirties pastato, esančio adresu A. Jakšto g. 1, Vilniuje, atnaujinimo (modernizavimo ir remonto) ir tvarkomųjų statybos (remonto) darbų pirkimas</w:t>
      </w:r>
      <w:r>
        <w:t>“. Sutartyje atlikti 6 pakeitimai (apimties, termino, vertės);</w:t>
      </w:r>
    </w:p>
    <w:p w14:paraId="60A9AE15" w14:textId="77777777" w:rsidR="005F08B9" w:rsidRDefault="005F08B9" w:rsidP="005F08B9">
      <w:pPr>
        <w:pStyle w:val="Sraopastraipa"/>
        <w:numPr>
          <w:ilvl w:val="0"/>
          <w:numId w:val="36"/>
        </w:numPr>
        <w:spacing w:after="0" w:line="240" w:lineRule="auto"/>
        <w:ind w:left="0" w:firstLine="1298"/>
        <w:jc w:val="both"/>
      </w:pPr>
      <w:r>
        <w:t xml:space="preserve">Sutartis Nr. </w:t>
      </w:r>
      <w:r w:rsidRPr="002350AB">
        <w:t>21-S1-1886</w:t>
      </w:r>
      <w:r>
        <w:t xml:space="preserve"> ,,</w:t>
      </w:r>
      <w:r w:rsidRPr="00AD3C84">
        <w:t xml:space="preserve"> VP-575 Vilniaus miesto 5-ojo policijos komisariato ir kelių policijos pastato, Vilniuje, Sietyno g. 24 rangos darbai ir darbo projektas</w:t>
      </w:r>
      <w:r>
        <w:t xml:space="preserve">“. Analizuojamu laikotarpiu buvo atlikti 5 šios sutarties pakeitimai. Nuo sutarties pasirašymo iš viso buvo atlikti 8 šios sutarties pakeitimai. Sutarties ir jos pakeitimų vertinimas išanalizuotas </w:t>
      </w:r>
      <w:r w:rsidRPr="00463C39">
        <w:rPr>
          <w:color w:val="000000"/>
        </w:rPr>
        <w:t>2024-05-30</w:t>
      </w:r>
      <w:r>
        <w:rPr>
          <w:color w:val="000000"/>
        </w:rPr>
        <w:t xml:space="preserve"> VPT raštu Nr. </w:t>
      </w:r>
      <w:r w:rsidRPr="00602E3D">
        <w:rPr>
          <w:color w:val="000000"/>
        </w:rPr>
        <w:t>SK3-14032</w:t>
      </w:r>
      <w:r>
        <w:rPr>
          <w:color w:val="000000"/>
        </w:rPr>
        <w:t xml:space="preserve"> pateiktoje VPT </w:t>
      </w:r>
      <w:r w:rsidRPr="00940B56">
        <w:rPr>
          <w:color w:val="000000"/>
        </w:rPr>
        <w:t>sutarties pakeitimų</w:t>
      </w:r>
      <w:r>
        <w:rPr>
          <w:color w:val="000000"/>
        </w:rPr>
        <w:t xml:space="preserve"> </w:t>
      </w:r>
      <w:r w:rsidRPr="00940B56">
        <w:rPr>
          <w:color w:val="000000"/>
        </w:rPr>
        <w:t>teisėtumo vertinim</w:t>
      </w:r>
      <w:r>
        <w:rPr>
          <w:color w:val="000000"/>
        </w:rPr>
        <w:t>o</w:t>
      </w:r>
      <w:r w:rsidRPr="00ED37A6">
        <w:t xml:space="preserve"> </w:t>
      </w:r>
      <w:hyperlink r:id="rId7" w:history="1">
        <w:r>
          <w:rPr>
            <w:rStyle w:val="Hipersaitas"/>
          </w:rPr>
          <w:t>ataskait</w:t>
        </w:r>
      </w:hyperlink>
      <w:r>
        <w:rPr>
          <w:rStyle w:val="Hipersaitas"/>
        </w:rPr>
        <w:t>oje</w:t>
      </w:r>
      <w:r>
        <w:rPr>
          <w:color w:val="000000"/>
        </w:rPr>
        <w:t xml:space="preserve">  kuri aprašyta šio nustatymo priedo 5.2 punkte.</w:t>
      </w:r>
    </w:p>
    <w:p w14:paraId="6888566F" w14:textId="77777777" w:rsidR="005F08B9" w:rsidRDefault="005F08B9" w:rsidP="005123CF">
      <w:pPr>
        <w:jc w:val="both"/>
        <w:rPr>
          <w:b/>
          <w:spacing w:val="-2"/>
        </w:rPr>
      </w:pPr>
    </w:p>
    <w:p w14:paraId="5168D55D" w14:textId="77777777" w:rsidR="005F08B9" w:rsidRPr="00EA7258" w:rsidRDefault="005F08B9" w:rsidP="005123CF">
      <w:pPr>
        <w:jc w:val="both"/>
        <w:rPr>
          <w:b/>
          <w:spacing w:val="-2"/>
        </w:rPr>
      </w:pPr>
      <w:r w:rsidRPr="00EA7258">
        <w:rPr>
          <w:b/>
          <w:spacing w:val="-2"/>
        </w:rPr>
        <w:t>Atsižvelgiant į tai, kas išdėstyta, galima teigti, kad egzistuoja šie rizikos veiksniai:</w:t>
      </w:r>
    </w:p>
    <w:p w14:paraId="3DCE1FFC" w14:textId="77777777" w:rsidR="005F08B9" w:rsidRDefault="005F08B9" w:rsidP="005F08B9">
      <w:pPr>
        <w:pStyle w:val="Sraopastraipa"/>
        <w:numPr>
          <w:ilvl w:val="0"/>
          <w:numId w:val="23"/>
        </w:numPr>
        <w:spacing w:after="0" w:line="240" w:lineRule="auto"/>
        <w:ind w:left="0" w:firstLine="1298"/>
        <w:jc w:val="both"/>
        <w:rPr>
          <w:bCs/>
          <w:spacing w:val="-2"/>
        </w:rPr>
      </w:pPr>
      <w:r>
        <w:lastRenderedPageBreak/>
        <w:t xml:space="preserve">Rangovo interesas darbus atlikti ne pagal projektą, technines sąlygas, </w:t>
      </w:r>
      <w:r w:rsidRPr="00B26347">
        <w:t>nekokybišk</w:t>
      </w:r>
      <w:r>
        <w:t>ai ar nesilaikant terminų;</w:t>
      </w:r>
    </w:p>
    <w:p w14:paraId="27ADE02A" w14:textId="77777777" w:rsidR="005F08B9" w:rsidRDefault="005F08B9" w:rsidP="005F08B9">
      <w:pPr>
        <w:pStyle w:val="Sraopastraipa"/>
        <w:numPr>
          <w:ilvl w:val="0"/>
          <w:numId w:val="23"/>
        </w:numPr>
        <w:spacing w:after="0" w:line="240" w:lineRule="auto"/>
        <w:ind w:left="0" w:firstLine="1298"/>
      </w:pPr>
      <w:r>
        <w:t>Rangovo interesas n</w:t>
      </w:r>
      <w:r w:rsidRPr="00EA63CC">
        <w:t>epagristai iniciuoti sutarčių pakeitimus;</w:t>
      </w:r>
    </w:p>
    <w:p w14:paraId="547D6806" w14:textId="77777777" w:rsidR="005F08B9" w:rsidRPr="00015417" w:rsidRDefault="005F08B9" w:rsidP="005F08B9">
      <w:pPr>
        <w:pStyle w:val="Sraopastraipa"/>
        <w:numPr>
          <w:ilvl w:val="0"/>
          <w:numId w:val="23"/>
        </w:numPr>
        <w:spacing w:after="0" w:line="240" w:lineRule="auto"/>
        <w:ind w:left="0" w:firstLine="1298"/>
      </w:pPr>
      <w:r w:rsidRPr="00A225EF">
        <w:t>Nepakankam</w:t>
      </w:r>
      <w:r>
        <w:t>a</w:t>
      </w:r>
      <w:r w:rsidRPr="00A225EF">
        <w:t xml:space="preserve"> </w:t>
      </w:r>
      <w:r>
        <w:t>vidaus kontrolė</w:t>
      </w:r>
      <w:r w:rsidRPr="00A225EF">
        <w:t xml:space="preserve"> priima</w:t>
      </w:r>
      <w:r>
        <w:t>nt</w:t>
      </w:r>
      <w:r w:rsidRPr="00A225EF">
        <w:t xml:space="preserve"> sprendim</w:t>
      </w:r>
      <w:r>
        <w:t xml:space="preserve">us </w:t>
      </w:r>
      <w:r w:rsidRPr="00A225EF">
        <w:t xml:space="preserve">dėl </w:t>
      </w:r>
      <w:r>
        <w:t>sutarčių pakeitimų.</w:t>
      </w:r>
    </w:p>
    <w:p w14:paraId="6A0C93EE" w14:textId="77777777" w:rsidR="005F08B9" w:rsidRPr="006848CF" w:rsidRDefault="005F08B9" w:rsidP="0035194C">
      <w:pPr>
        <w:ind w:firstLine="1298"/>
        <w:jc w:val="both"/>
        <w:rPr>
          <w:bCs/>
          <w:spacing w:val="-2"/>
        </w:rPr>
      </w:pPr>
      <w:r>
        <w:rPr>
          <w:bCs/>
          <w:spacing w:val="-2"/>
        </w:rPr>
        <w:t>Bei identifikuota:</w:t>
      </w:r>
      <w:r w:rsidRPr="006848CF">
        <w:rPr>
          <w:bCs/>
          <w:spacing w:val="-2"/>
        </w:rPr>
        <w:t xml:space="preserve"> </w:t>
      </w:r>
    </w:p>
    <w:p w14:paraId="7F9404EC" w14:textId="77777777" w:rsidR="005F08B9" w:rsidRPr="00CA0295" w:rsidRDefault="005F08B9" w:rsidP="0035194C">
      <w:pPr>
        <w:ind w:firstLine="1298"/>
        <w:jc w:val="both"/>
        <w:rPr>
          <w:b/>
          <w:bCs/>
          <w:lang w:eastAsia="lt-LT"/>
        </w:rPr>
      </w:pPr>
      <w:r w:rsidRPr="00CA0295">
        <w:rPr>
          <w:b/>
          <w:bCs/>
          <w:lang w:eastAsia="lt-LT"/>
        </w:rPr>
        <w:t>Rizika R</w:t>
      </w:r>
      <w:r w:rsidRPr="009515FA">
        <w:rPr>
          <w:b/>
          <w:bCs/>
          <w:vertAlign w:val="subscript"/>
          <w:lang w:eastAsia="lt-LT"/>
        </w:rPr>
        <w:t>1</w:t>
      </w:r>
      <w:r w:rsidRPr="00CA0295">
        <w:rPr>
          <w:b/>
          <w:bCs/>
          <w:lang w:eastAsia="lt-LT"/>
        </w:rPr>
        <w:t xml:space="preserve"> - Galimybė priimti neobjektyvius</w:t>
      </w:r>
      <w:r>
        <w:rPr>
          <w:b/>
          <w:bCs/>
          <w:lang w:eastAsia="lt-LT"/>
        </w:rPr>
        <w:t>, rangovams palankius,</w:t>
      </w:r>
      <w:r w:rsidRPr="00CA0295">
        <w:rPr>
          <w:b/>
          <w:bCs/>
          <w:lang w:eastAsia="lt-LT"/>
        </w:rPr>
        <w:t xml:space="preserve"> sprendimus</w:t>
      </w:r>
      <w:r>
        <w:rPr>
          <w:b/>
          <w:bCs/>
          <w:lang w:eastAsia="lt-LT"/>
        </w:rPr>
        <w:t xml:space="preserve"> susijusius su rangos darbų sutarčių pakeitimais</w:t>
      </w:r>
      <w:r w:rsidRPr="00CA0295">
        <w:rPr>
          <w:b/>
          <w:bCs/>
          <w:lang w:eastAsia="lt-LT"/>
        </w:rPr>
        <w:t>.</w:t>
      </w:r>
    </w:p>
    <w:p w14:paraId="6C8DCE6A" w14:textId="77777777" w:rsidR="005F08B9" w:rsidRDefault="005F08B9" w:rsidP="0035194C">
      <w:pPr>
        <w:ind w:firstLine="1298"/>
        <w:jc w:val="both"/>
        <w:rPr>
          <w:bCs/>
          <w:spacing w:val="-2"/>
        </w:rPr>
      </w:pPr>
      <w:r w:rsidRPr="00E10535">
        <w:rPr>
          <w:bCs/>
          <w:spacing w:val="-2"/>
        </w:rPr>
        <w:t>P=3; T=</w:t>
      </w:r>
      <w:r>
        <w:rPr>
          <w:bCs/>
          <w:spacing w:val="-2"/>
        </w:rPr>
        <w:t>3</w:t>
      </w:r>
      <w:r w:rsidRPr="00E10535">
        <w:rPr>
          <w:bCs/>
          <w:spacing w:val="-2"/>
        </w:rPr>
        <w:t>. Rizikos lygis: R=</w:t>
      </w:r>
      <w:proofErr w:type="spellStart"/>
      <w:r w:rsidRPr="00E10535">
        <w:rPr>
          <w:bCs/>
          <w:spacing w:val="-2"/>
        </w:rPr>
        <w:t>TxP</w:t>
      </w:r>
      <w:proofErr w:type="spellEnd"/>
      <w:r w:rsidRPr="00E10535">
        <w:rPr>
          <w:bCs/>
          <w:spacing w:val="-2"/>
        </w:rPr>
        <w:t xml:space="preserve">; </w:t>
      </w:r>
      <w:r w:rsidRPr="00CA0295">
        <w:rPr>
          <w:b/>
          <w:spacing w:val="-2"/>
        </w:rPr>
        <w:t>R</w:t>
      </w:r>
      <w:r w:rsidRPr="009515FA">
        <w:rPr>
          <w:b/>
          <w:spacing w:val="-2"/>
          <w:vertAlign w:val="subscript"/>
        </w:rPr>
        <w:t>1</w:t>
      </w:r>
      <w:r w:rsidRPr="00CA0295">
        <w:rPr>
          <w:b/>
          <w:spacing w:val="-2"/>
        </w:rPr>
        <w:t>=</w:t>
      </w:r>
      <w:r>
        <w:rPr>
          <w:b/>
          <w:spacing w:val="-2"/>
        </w:rPr>
        <w:t>9</w:t>
      </w:r>
      <w:r w:rsidRPr="00EC574B">
        <w:rPr>
          <w:bCs/>
          <w:spacing w:val="-2"/>
        </w:rPr>
        <w:tab/>
      </w:r>
    </w:p>
    <w:p w14:paraId="17349BF1" w14:textId="77777777" w:rsidR="005F08B9" w:rsidRDefault="005F08B9" w:rsidP="0035194C">
      <w:pPr>
        <w:ind w:firstLine="1298"/>
        <w:jc w:val="both"/>
        <w:rPr>
          <w:bCs/>
          <w:spacing w:val="-2"/>
        </w:rPr>
      </w:pPr>
      <w:r>
        <w:rPr>
          <w:bCs/>
          <w:spacing w:val="-2"/>
        </w:rPr>
        <w:t>Rizikos R</w:t>
      </w:r>
      <w:r w:rsidRPr="009515FA">
        <w:rPr>
          <w:bCs/>
          <w:spacing w:val="-2"/>
          <w:vertAlign w:val="subscript"/>
        </w:rPr>
        <w:t>1</w:t>
      </w:r>
      <w:r>
        <w:rPr>
          <w:bCs/>
          <w:spacing w:val="-2"/>
        </w:rPr>
        <w:t xml:space="preserve"> galimo (hipotetinio) lygio poveikis (P</w:t>
      </w:r>
      <w:r w:rsidRPr="000F72CA">
        <w:rPr>
          <w:bCs/>
          <w:spacing w:val="-2"/>
          <w:vertAlign w:val="subscript"/>
        </w:rPr>
        <w:t>1</w:t>
      </w:r>
      <w:r>
        <w:rPr>
          <w:bCs/>
          <w:spacing w:val="-2"/>
        </w:rPr>
        <w:t xml:space="preserve">) -  </w:t>
      </w:r>
      <w:r w:rsidRPr="00A648DC">
        <w:rPr>
          <w:bCs/>
          <w:spacing w:val="-2"/>
        </w:rPr>
        <w:t>vertinama 3 lygiu (pastebimas lygis), nes atlikus pateiktų poveikio kriterijų, kurie nusako konkrečios rizikos sukeltą arba galimą (hipotetinį) neigiamą poveikį viešojo sektoriaus subjekto veiklai, reputacijai, pasitikėjimui juo, finansinius nuostolius</w:t>
      </w:r>
      <w:r>
        <w:rPr>
          <w:bCs/>
          <w:spacing w:val="-2"/>
        </w:rPr>
        <w:t xml:space="preserve"> (negautas pajamas)</w:t>
      </w:r>
      <w:r w:rsidRPr="00A648DC">
        <w:rPr>
          <w:bCs/>
          <w:spacing w:val="-2"/>
        </w:rPr>
        <w:t xml:space="preserve">  ir t. t., analizę, nustatyta, kad gali būti gaunami kitų institucijų, pvz.,  LR specialiųjų tyrimų tarnybos, paklausimai apie konkrečius atvejus ar situacijas apie galimas korupcijos apraiškas (rizikas) arba kontrolės veiksmų metu nustatytas ydingas situacijas.</w:t>
      </w:r>
    </w:p>
    <w:p w14:paraId="584F2186" w14:textId="77777777" w:rsidR="005F08B9" w:rsidRDefault="005F08B9" w:rsidP="0035194C">
      <w:pPr>
        <w:ind w:firstLine="1298"/>
        <w:jc w:val="both"/>
      </w:pPr>
      <w:r>
        <w:rPr>
          <w:bCs/>
          <w:spacing w:val="-2"/>
        </w:rPr>
        <w:t>Rizikos R</w:t>
      </w:r>
      <w:r w:rsidRPr="009515FA">
        <w:rPr>
          <w:bCs/>
          <w:spacing w:val="-2"/>
          <w:vertAlign w:val="subscript"/>
        </w:rPr>
        <w:t>1</w:t>
      </w:r>
      <w:r>
        <w:rPr>
          <w:bCs/>
          <w:spacing w:val="-2"/>
        </w:rPr>
        <w:t xml:space="preserve"> </w:t>
      </w:r>
      <w:r>
        <w:t>Tikimybė (T</w:t>
      </w:r>
      <w:r w:rsidRPr="000F72CA">
        <w:rPr>
          <w:vertAlign w:val="subscript"/>
        </w:rPr>
        <w:t>1</w:t>
      </w:r>
      <w:r>
        <w:t xml:space="preserve">) vertinama 3 lygiu (Vidutinis), kadangi analizuojamu laikotarpiu Turto banko veiklos srityje nors ir nebuvo nustatyta galimų interesų konfliktų, tačiau nustatymo metu nebuvo panaikinti </w:t>
      </w:r>
      <w:r>
        <w:rPr>
          <w:color w:val="000000"/>
        </w:rPr>
        <w:t xml:space="preserve">VPT </w:t>
      </w:r>
      <w:r w:rsidRPr="00940B56">
        <w:rPr>
          <w:color w:val="000000"/>
          <w:lang w:eastAsia="lt-LT"/>
        </w:rPr>
        <w:t>sutarties pakeitimų</w:t>
      </w:r>
      <w:r>
        <w:rPr>
          <w:color w:val="000000"/>
          <w:lang w:eastAsia="lt-LT"/>
        </w:rPr>
        <w:t xml:space="preserve"> </w:t>
      </w:r>
      <w:r w:rsidRPr="00940B56">
        <w:rPr>
          <w:color w:val="000000"/>
          <w:lang w:eastAsia="lt-LT"/>
        </w:rPr>
        <w:t>teisėtumo vertinim</w:t>
      </w:r>
      <w:r>
        <w:rPr>
          <w:color w:val="000000"/>
          <w:lang w:eastAsia="lt-LT"/>
        </w:rPr>
        <w:t>o</w:t>
      </w:r>
      <w:r w:rsidRPr="00ED37A6">
        <w:t xml:space="preserve"> </w:t>
      </w:r>
      <w:hyperlink r:id="rId8" w:history="1">
        <w:r>
          <w:rPr>
            <w:rStyle w:val="Hipersaitas"/>
            <w:lang w:eastAsia="lt-LT"/>
          </w:rPr>
          <w:t>ataskait</w:t>
        </w:r>
      </w:hyperlink>
      <w:r>
        <w:rPr>
          <w:rStyle w:val="Hipersaitas"/>
        </w:rPr>
        <w:t>oje</w:t>
      </w:r>
      <w:r>
        <w:rPr>
          <w:color w:val="000000"/>
          <w:lang w:eastAsia="lt-LT"/>
        </w:rPr>
        <w:t xml:space="preserve"> konstatuoti pažeidimai, </w:t>
      </w:r>
      <w:r>
        <w:t>atitinka situaciją, kai „</w:t>
      </w:r>
      <w:r w:rsidRPr="00EA53F3">
        <w:t>Ne daugiau kaip 1 atvejis per metus subjektuose, kuriuose dirba nuo 101 iki 500 darbuotojų</w:t>
      </w:r>
      <w:r>
        <w:t>“</w:t>
      </w:r>
      <w:r w:rsidRPr="004F0444">
        <w:t>.</w:t>
      </w:r>
    </w:p>
    <w:p w14:paraId="6EC5FBA0" w14:textId="77777777" w:rsidR="005F08B9" w:rsidRPr="00716B39" w:rsidRDefault="005F08B9" w:rsidP="0035194C">
      <w:pPr>
        <w:ind w:firstLine="1298"/>
        <w:jc w:val="both"/>
        <w:rPr>
          <w:b/>
          <w:bCs/>
        </w:rPr>
      </w:pPr>
      <w:r w:rsidRPr="00716B39">
        <w:rPr>
          <w:b/>
          <w:bCs/>
        </w:rPr>
        <w:t>Pasiūlyma</w:t>
      </w:r>
      <w:r>
        <w:rPr>
          <w:b/>
          <w:bCs/>
        </w:rPr>
        <w:t>s</w:t>
      </w:r>
      <w:r w:rsidRPr="00716B39">
        <w:rPr>
          <w:b/>
          <w:bCs/>
        </w:rPr>
        <w:t xml:space="preserve"> dėl nustatytos rizikos </w:t>
      </w:r>
      <w:r>
        <w:rPr>
          <w:b/>
          <w:bCs/>
        </w:rPr>
        <w:t>R</w:t>
      </w:r>
      <w:r>
        <w:rPr>
          <w:b/>
          <w:bCs/>
          <w:vertAlign w:val="subscript"/>
        </w:rPr>
        <w:t>1</w:t>
      </w:r>
      <w:r>
        <w:rPr>
          <w:b/>
          <w:bCs/>
        </w:rPr>
        <w:t xml:space="preserve"> </w:t>
      </w:r>
      <w:r w:rsidRPr="00716B39">
        <w:rPr>
          <w:b/>
          <w:bCs/>
        </w:rPr>
        <w:t>mažinimo priemonių taikymo:</w:t>
      </w:r>
    </w:p>
    <w:p w14:paraId="3C53232F" w14:textId="77777777" w:rsidR="005F08B9" w:rsidRPr="00C60FFD" w:rsidRDefault="005F08B9" w:rsidP="0035194C">
      <w:pPr>
        <w:ind w:firstLine="1298"/>
        <w:jc w:val="both"/>
        <w:rPr>
          <w:bCs/>
          <w:spacing w:val="-2"/>
        </w:rPr>
      </w:pPr>
      <w:r w:rsidRPr="00C60FFD">
        <w:rPr>
          <w:bCs/>
          <w:spacing w:val="-2"/>
        </w:rPr>
        <w:t xml:space="preserve">Atsižvelgiant į tai, kad nuo 2024 metų spalio mėnesio Turto banko vadovų komitetui yra pateikiama informacija apie planuojamus sutarčių pakeitimus ir dėl šių jų priimami kolegialūs sprendimai, siūloma vidaus teisės aktais nustatyti </w:t>
      </w:r>
      <w:r>
        <w:t>kriterijus, pagal kuriuos būtų atrenkami sutarčių pakeitimų projektai kurie yra teikiami svarstymui vadovų komitete.</w:t>
      </w:r>
    </w:p>
    <w:p w14:paraId="5C7997DE" w14:textId="77777777" w:rsidR="005F08B9" w:rsidRPr="00E04CF7" w:rsidRDefault="005F08B9" w:rsidP="0035194C">
      <w:pPr>
        <w:ind w:firstLine="1298"/>
        <w:jc w:val="both"/>
      </w:pPr>
      <w:r w:rsidRPr="00F73F74">
        <w:rPr>
          <w:b/>
          <w:bCs/>
        </w:rPr>
        <w:t>7</w:t>
      </w:r>
      <w:r w:rsidRPr="00E04CF7">
        <w:t xml:space="preserve">. </w:t>
      </w:r>
      <w:r>
        <w:t>Siekiant identifikuoti</w:t>
      </w:r>
      <w:r w:rsidRPr="00E04CF7">
        <w:t xml:space="preserve"> galim</w:t>
      </w:r>
      <w:r>
        <w:t xml:space="preserve">as korupcijos pasireiškimo  </w:t>
      </w:r>
      <w:r w:rsidRPr="00E04CF7">
        <w:t>rizik</w:t>
      </w:r>
      <w:r>
        <w:t>as</w:t>
      </w:r>
      <w:r w:rsidRPr="00E04CF7">
        <w:t xml:space="preserve"> </w:t>
      </w:r>
      <w:r>
        <w:t>buvo sudarytas suinteresuotų šalių ir jų galimų privačių interesų sąrašas kuris pateiktas šios išvados priede Nr. 2</w:t>
      </w:r>
      <w:r w:rsidRPr="00E04CF7">
        <w:t xml:space="preserve">. </w:t>
      </w:r>
    </w:p>
    <w:p w14:paraId="3FC3F8AA" w14:textId="77777777" w:rsidR="005F08B9" w:rsidRDefault="005F08B9" w:rsidP="0035194C">
      <w:pPr>
        <w:ind w:firstLine="1298"/>
        <w:jc w:val="both"/>
      </w:pPr>
      <w:r w:rsidRPr="00F73F74">
        <w:rPr>
          <w:b/>
          <w:bCs/>
        </w:rPr>
        <w:t>8.</w:t>
      </w:r>
      <w:r w:rsidRPr="00E04CF7">
        <w:t xml:space="preserve"> </w:t>
      </w:r>
      <w:r>
        <w:t xml:space="preserve">KPT nustatymo metu buvo bendraujama su Turto banko  departamentų ir skyrių darbuotojais bei renkama informacija galinti turėti reikšmės rizikų identifikavimui analizuojamoje </w:t>
      </w:r>
      <w:r w:rsidRPr="004C3154">
        <w:t>Turto banko veiklos srityje</w:t>
      </w:r>
      <w:r>
        <w:t>.</w:t>
      </w:r>
    </w:p>
    <w:p w14:paraId="5C276381" w14:textId="77777777" w:rsidR="005F08B9" w:rsidRDefault="005F08B9" w:rsidP="0035194C">
      <w:pPr>
        <w:ind w:firstLine="1298"/>
        <w:jc w:val="both"/>
      </w:pPr>
      <w:r>
        <w:t xml:space="preserve">Nustatymo metu Turto banko Turto valdymo departamento Duomenų valdymo skyriaus vadovas pateikė </w:t>
      </w:r>
      <w:r w:rsidRPr="00536614">
        <w:t>pasibaigusio ir besibaigiančio civilinės atsakomybės draudimo (</w:t>
      </w:r>
      <w:r>
        <w:t xml:space="preserve">toliau – </w:t>
      </w:r>
      <w:r w:rsidRPr="00536614">
        <w:t xml:space="preserve">CAD) </w:t>
      </w:r>
      <w:r>
        <w:t xml:space="preserve">ir </w:t>
      </w:r>
      <w:r w:rsidRPr="00760E78">
        <w:t>sutarties įvykdymo užtikrinimo dokumentų</w:t>
      </w:r>
      <w:r>
        <w:t xml:space="preserve"> </w:t>
      </w:r>
      <w:r w:rsidRPr="00760E78">
        <w:t>(</w:t>
      </w:r>
      <w:r>
        <w:t xml:space="preserve">toliau – </w:t>
      </w:r>
      <w:r w:rsidRPr="00760E78">
        <w:t>SUD)</w:t>
      </w:r>
      <w:r>
        <w:t xml:space="preserve"> kurių galiojimas yra pasibaigęs ar artimiausiu metu pasibaigs ataskaitas.</w:t>
      </w:r>
    </w:p>
    <w:p w14:paraId="6E212C38" w14:textId="77777777" w:rsidR="005F08B9" w:rsidRDefault="005F08B9" w:rsidP="00873FA0">
      <w:pPr>
        <w:jc w:val="both"/>
        <w:rPr>
          <w:color w:val="000000"/>
          <w:lang w:eastAsia="lt-LT"/>
        </w:rPr>
      </w:pPr>
    </w:p>
    <w:p w14:paraId="09AA50D1" w14:textId="77777777" w:rsidR="005F08B9" w:rsidRPr="00015417" w:rsidRDefault="005F08B9" w:rsidP="00873FA0">
      <w:pPr>
        <w:jc w:val="both"/>
        <w:rPr>
          <w:color w:val="000000"/>
          <w:lang w:eastAsia="lt-LT"/>
        </w:rPr>
      </w:pPr>
      <w:r>
        <w:rPr>
          <w:color w:val="000000"/>
          <w:lang w:eastAsia="lt-LT"/>
        </w:rPr>
        <w:t>Lentelė Nr.3 Sutartyse pasibaigusių ar besibaigiančių CAD ataskaitos išrašas :</w:t>
      </w:r>
    </w:p>
    <w:tbl>
      <w:tblPr>
        <w:tblStyle w:val="Lentelstinklelis"/>
        <w:tblW w:w="0" w:type="auto"/>
        <w:tblLook w:val="04A0" w:firstRow="1" w:lastRow="0" w:firstColumn="1" w:lastColumn="0" w:noHBand="0" w:noVBand="1"/>
      </w:tblPr>
      <w:tblGrid>
        <w:gridCol w:w="988"/>
        <w:gridCol w:w="4394"/>
        <w:gridCol w:w="1134"/>
        <w:gridCol w:w="1112"/>
        <w:gridCol w:w="973"/>
        <w:gridCol w:w="1027"/>
      </w:tblGrid>
      <w:tr w:rsidR="005F08B9" w:rsidRPr="002C3A75" w14:paraId="2F7B06FA" w14:textId="77777777" w:rsidTr="00A179C0">
        <w:trPr>
          <w:trHeight w:val="290"/>
        </w:trPr>
        <w:tc>
          <w:tcPr>
            <w:tcW w:w="988" w:type="dxa"/>
            <w:noWrap/>
            <w:hideMark/>
          </w:tcPr>
          <w:p w14:paraId="65EB07C3" w14:textId="77777777" w:rsidR="005F08B9" w:rsidRPr="002C3A75" w:rsidRDefault="005F08B9" w:rsidP="00A179C0">
            <w:pPr>
              <w:rPr>
                <w:rFonts w:asciiTheme="majorBidi" w:hAnsiTheme="majorBidi" w:cstheme="majorBidi"/>
                <w:b/>
                <w:bCs/>
                <w:sz w:val="16"/>
                <w:szCs w:val="16"/>
              </w:rPr>
            </w:pPr>
            <w:r w:rsidRPr="002C3A75">
              <w:rPr>
                <w:rFonts w:asciiTheme="majorBidi" w:hAnsiTheme="majorBidi" w:cstheme="majorBidi"/>
                <w:b/>
                <w:bCs/>
                <w:sz w:val="16"/>
                <w:szCs w:val="16"/>
              </w:rPr>
              <w:t>Sutartis</w:t>
            </w:r>
          </w:p>
        </w:tc>
        <w:tc>
          <w:tcPr>
            <w:tcW w:w="4394" w:type="dxa"/>
            <w:noWrap/>
            <w:hideMark/>
          </w:tcPr>
          <w:p w14:paraId="0495B9A2" w14:textId="77777777" w:rsidR="005F08B9" w:rsidRPr="002C3A75" w:rsidRDefault="005F08B9" w:rsidP="00A179C0">
            <w:pPr>
              <w:rPr>
                <w:rFonts w:asciiTheme="majorBidi" w:hAnsiTheme="majorBidi" w:cstheme="majorBidi"/>
                <w:b/>
                <w:bCs/>
                <w:sz w:val="16"/>
                <w:szCs w:val="16"/>
              </w:rPr>
            </w:pPr>
            <w:r w:rsidRPr="002C3A75">
              <w:rPr>
                <w:rFonts w:asciiTheme="majorBidi" w:hAnsiTheme="majorBidi" w:cstheme="majorBidi"/>
                <w:b/>
                <w:bCs/>
                <w:sz w:val="16"/>
                <w:szCs w:val="16"/>
              </w:rPr>
              <w:t>Pavadinimas</w:t>
            </w:r>
          </w:p>
        </w:tc>
        <w:tc>
          <w:tcPr>
            <w:tcW w:w="1134" w:type="dxa"/>
            <w:noWrap/>
            <w:hideMark/>
          </w:tcPr>
          <w:p w14:paraId="7EFF1DA4" w14:textId="77777777" w:rsidR="005F08B9" w:rsidRPr="002C3A75" w:rsidRDefault="005F08B9" w:rsidP="00A179C0">
            <w:pPr>
              <w:rPr>
                <w:rFonts w:asciiTheme="majorBidi" w:hAnsiTheme="majorBidi" w:cstheme="majorBidi"/>
                <w:b/>
                <w:bCs/>
                <w:sz w:val="16"/>
                <w:szCs w:val="16"/>
              </w:rPr>
            </w:pPr>
            <w:r>
              <w:rPr>
                <w:rFonts w:asciiTheme="majorBidi" w:hAnsiTheme="majorBidi" w:cstheme="majorBidi"/>
                <w:b/>
                <w:bCs/>
                <w:sz w:val="16"/>
                <w:szCs w:val="16"/>
              </w:rPr>
              <w:t>Sutarties p</w:t>
            </w:r>
            <w:r w:rsidRPr="002C3A75">
              <w:rPr>
                <w:rFonts w:asciiTheme="majorBidi" w:hAnsiTheme="majorBidi" w:cstheme="majorBidi"/>
                <w:b/>
                <w:bCs/>
                <w:sz w:val="16"/>
                <w:szCs w:val="16"/>
              </w:rPr>
              <w:t>abaigos data</w:t>
            </w:r>
          </w:p>
        </w:tc>
        <w:tc>
          <w:tcPr>
            <w:tcW w:w="1112" w:type="dxa"/>
            <w:noWrap/>
            <w:hideMark/>
          </w:tcPr>
          <w:p w14:paraId="1C2119B6" w14:textId="77777777" w:rsidR="005F08B9" w:rsidRPr="002C3A75" w:rsidRDefault="005F08B9" w:rsidP="00A179C0">
            <w:pPr>
              <w:rPr>
                <w:rFonts w:asciiTheme="majorBidi" w:hAnsiTheme="majorBidi" w:cstheme="majorBidi"/>
                <w:b/>
                <w:bCs/>
                <w:sz w:val="16"/>
                <w:szCs w:val="16"/>
              </w:rPr>
            </w:pPr>
            <w:r w:rsidRPr="002C3A75">
              <w:rPr>
                <w:rFonts w:asciiTheme="majorBidi" w:hAnsiTheme="majorBidi" w:cstheme="majorBidi"/>
                <w:b/>
                <w:bCs/>
                <w:sz w:val="16"/>
                <w:szCs w:val="16"/>
              </w:rPr>
              <w:t>CAD pabaigos data</w:t>
            </w:r>
          </w:p>
        </w:tc>
        <w:tc>
          <w:tcPr>
            <w:tcW w:w="973" w:type="dxa"/>
            <w:noWrap/>
            <w:hideMark/>
          </w:tcPr>
          <w:p w14:paraId="3CE41BC8" w14:textId="77777777" w:rsidR="005F08B9" w:rsidRPr="002C3A75" w:rsidRDefault="005F08B9" w:rsidP="00A179C0">
            <w:pPr>
              <w:rPr>
                <w:rFonts w:asciiTheme="majorBidi" w:hAnsiTheme="majorBidi" w:cstheme="majorBidi"/>
                <w:b/>
                <w:bCs/>
                <w:sz w:val="16"/>
                <w:szCs w:val="16"/>
              </w:rPr>
            </w:pPr>
            <w:r w:rsidRPr="002C3A75">
              <w:rPr>
                <w:rFonts w:asciiTheme="majorBidi" w:hAnsiTheme="majorBidi" w:cstheme="majorBidi"/>
                <w:b/>
                <w:bCs/>
                <w:sz w:val="16"/>
                <w:szCs w:val="16"/>
              </w:rPr>
              <w:t>CAD suma</w:t>
            </w:r>
          </w:p>
        </w:tc>
        <w:tc>
          <w:tcPr>
            <w:tcW w:w="1027" w:type="dxa"/>
            <w:noWrap/>
            <w:hideMark/>
          </w:tcPr>
          <w:p w14:paraId="160A9822" w14:textId="77777777" w:rsidR="005F08B9" w:rsidRPr="002C3A75" w:rsidRDefault="005F08B9" w:rsidP="00A179C0">
            <w:pPr>
              <w:rPr>
                <w:rFonts w:asciiTheme="majorBidi" w:hAnsiTheme="majorBidi" w:cstheme="majorBidi"/>
                <w:b/>
                <w:bCs/>
                <w:sz w:val="16"/>
                <w:szCs w:val="16"/>
              </w:rPr>
            </w:pPr>
            <w:r w:rsidRPr="002C3A75">
              <w:rPr>
                <w:rFonts w:asciiTheme="majorBidi" w:hAnsiTheme="majorBidi" w:cstheme="majorBidi"/>
                <w:b/>
                <w:bCs/>
                <w:sz w:val="16"/>
                <w:szCs w:val="16"/>
              </w:rPr>
              <w:t>Sutarties vertė su PVM</w:t>
            </w:r>
          </w:p>
        </w:tc>
      </w:tr>
      <w:tr w:rsidR="005F08B9" w:rsidRPr="002C3A75" w14:paraId="658014C7" w14:textId="77777777" w:rsidTr="00A179C0">
        <w:trPr>
          <w:trHeight w:val="405"/>
        </w:trPr>
        <w:tc>
          <w:tcPr>
            <w:tcW w:w="988" w:type="dxa"/>
            <w:noWrap/>
            <w:hideMark/>
          </w:tcPr>
          <w:p w14:paraId="1DC76842" w14:textId="77777777" w:rsidR="005F08B9" w:rsidRPr="002C3A75" w:rsidRDefault="005F08B9" w:rsidP="00A179C0">
            <w:pPr>
              <w:rPr>
                <w:rFonts w:asciiTheme="majorBidi" w:hAnsiTheme="majorBidi" w:cstheme="majorBidi"/>
                <w:sz w:val="16"/>
                <w:szCs w:val="16"/>
              </w:rPr>
            </w:pPr>
            <w:r w:rsidRPr="002C3A75">
              <w:rPr>
                <w:rFonts w:asciiTheme="majorBidi" w:hAnsiTheme="majorBidi" w:cstheme="majorBidi"/>
                <w:sz w:val="16"/>
                <w:szCs w:val="16"/>
              </w:rPr>
              <w:t>20-S1-903</w:t>
            </w:r>
          </w:p>
        </w:tc>
        <w:tc>
          <w:tcPr>
            <w:tcW w:w="4394" w:type="dxa"/>
            <w:noWrap/>
            <w:hideMark/>
          </w:tcPr>
          <w:p w14:paraId="05F771BD" w14:textId="77777777" w:rsidR="005F08B9" w:rsidRPr="002C3A75" w:rsidRDefault="005F08B9" w:rsidP="00A179C0">
            <w:pPr>
              <w:rPr>
                <w:rFonts w:asciiTheme="majorBidi" w:hAnsiTheme="majorBidi" w:cstheme="majorBidi"/>
                <w:sz w:val="16"/>
                <w:szCs w:val="16"/>
              </w:rPr>
            </w:pPr>
            <w:r w:rsidRPr="002C3A75">
              <w:rPr>
                <w:rFonts w:asciiTheme="majorBidi" w:hAnsiTheme="majorBidi" w:cstheme="majorBidi"/>
                <w:sz w:val="16"/>
                <w:szCs w:val="16"/>
              </w:rPr>
              <w:t>Ligoninės pastato Žygimantų g. 8, Vilniuje, kapitalinio remonto darbai</w:t>
            </w:r>
          </w:p>
        </w:tc>
        <w:tc>
          <w:tcPr>
            <w:tcW w:w="1134" w:type="dxa"/>
            <w:noWrap/>
            <w:hideMark/>
          </w:tcPr>
          <w:p w14:paraId="00D31743" w14:textId="77777777" w:rsidR="005F08B9" w:rsidRPr="002C3A75" w:rsidRDefault="005F08B9" w:rsidP="00A179C0">
            <w:pPr>
              <w:rPr>
                <w:rFonts w:asciiTheme="majorBidi" w:hAnsiTheme="majorBidi" w:cstheme="majorBidi"/>
                <w:sz w:val="16"/>
                <w:szCs w:val="16"/>
              </w:rPr>
            </w:pPr>
            <w:r w:rsidRPr="002C3A75">
              <w:rPr>
                <w:rFonts w:asciiTheme="majorBidi" w:hAnsiTheme="majorBidi" w:cstheme="majorBidi"/>
                <w:sz w:val="16"/>
                <w:szCs w:val="16"/>
              </w:rPr>
              <w:t>2025-01-10</w:t>
            </w:r>
          </w:p>
        </w:tc>
        <w:tc>
          <w:tcPr>
            <w:tcW w:w="1112" w:type="dxa"/>
            <w:noWrap/>
            <w:hideMark/>
          </w:tcPr>
          <w:p w14:paraId="3D301046" w14:textId="77777777" w:rsidR="005F08B9" w:rsidRPr="0035194C" w:rsidRDefault="005F08B9" w:rsidP="00A179C0">
            <w:pPr>
              <w:rPr>
                <w:rFonts w:asciiTheme="majorBidi" w:hAnsiTheme="majorBidi" w:cstheme="majorBidi"/>
                <w:sz w:val="16"/>
                <w:szCs w:val="16"/>
              </w:rPr>
            </w:pPr>
            <w:r w:rsidRPr="0035194C">
              <w:rPr>
                <w:rFonts w:asciiTheme="majorBidi" w:hAnsiTheme="majorBidi" w:cstheme="majorBidi"/>
                <w:sz w:val="16"/>
                <w:szCs w:val="16"/>
              </w:rPr>
              <w:t>2022-01-31</w:t>
            </w:r>
          </w:p>
        </w:tc>
        <w:tc>
          <w:tcPr>
            <w:tcW w:w="973" w:type="dxa"/>
            <w:noWrap/>
            <w:hideMark/>
          </w:tcPr>
          <w:p w14:paraId="77ED2A57" w14:textId="77777777" w:rsidR="005F08B9" w:rsidRPr="002C3A75" w:rsidRDefault="005F08B9" w:rsidP="00A179C0">
            <w:pPr>
              <w:rPr>
                <w:rFonts w:asciiTheme="majorBidi" w:hAnsiTheme="majorBidi" w:cstheme="majorBidi"/>
                <w:sz w:val="16"/>
                <w:szCs w:val="16"/>
              </w:rPr>
            </w:pPr>
            <w:r w:rsidRPr="002C3A75">
              <w:rPr>
                <w:rFonts w:asciiTheme="majorBidi" w:hAnsiTheme="majorBidi" w:cstheme="majorBidi"/>
                <w:sz w:val="16"/>
                <w:szCs w:val="16"/>
              </w:rPr>
              <w:t>43400</w:t>
            </w:r>
          </w:p>
        </w:tc>
        <w:tc>
          <w:tcPr>
            <w:tcW w:w="1027" w:type="dxa"/>
            <w:noWrap/>
            <w:hideMark/>
          </w:tcPr>
          <w:p w14:paraId="607E39E6" w14:textId="77777777" w:rsidR="005F08B9" w:rsidRPr="002C3A75" w:rsidRDefault="005F08B9" w:rsidP="00A179C0">
            <w:pPr>
              <w:rPr>
                <w:rFonts w:asciiTheme="majorBidi" w:hAnsiTheme="majorBidi" w:cstheme="majorBidi"/>
                <w:sz w:val="16"/>
                <w:szCs w:val="16"/>
              </w:rPr>
            </w:pPr>
            <w:r w:rsidRPr="002C3A75">
              <w:rPr>
                <w:rFonts w:asciiTheme="majorBidi" w:hAnsiTheme="majorBidi" w:cstheme="majorBidi"/>
                <w:sz w:val="16"/>
                <w:szCs w:val="16"/>
              </w:rPr>
              <w:t>2268374</w:t>
            </w:r>
          </w:p>
        </w:tc>
      </w:tr>
      <w:tr w:rsidR="005F08B9" w:rsidRPr="002C3A75" w14:paraId="6498B77F" w14:textId="77777777" w:rsidTr="00A179C0">
        <w:trPr>
          <w:trHeight w:val="290"/>
        </w:trPr>
        <w:tc>
          <w:tcPr>
            <w:tcW w:w="988" w:type="dxa"/>
            <w:noWrap/>
            <w:hideMark/>
          </w:tcPr>
          <w:p w14:paraId="7DAA0987" w14:textId="77777777" w:rsidR="005F08B9" w:rsidRPr="002C3A75" w:rsidRDefault="005F08B9" w:rsidP="00A179C0">
            <w:pPr>
              <w:rPr>
                <w:rFonts w:asciiTheme="majorBidi" w:hAnsiTheme="majorBidi" w:cstheme="majorBidi"/>
                <w:sz w:val="16"/>
                <w:szCs w:val="16"/>
              </w:rPr>
            </w:pPr>
            <w:r w:rsidRPr="002C3A75">
              <w:rPr>
                <w:rFonts w:asciiTheme="majorBidi" w:hAnsiTheme="majorBidi" w:cstheme="majorBidi"/>
                <w:sz w:val="16"/>
                <w:szCs w:val="16"/>
              </w:rPr>
              <w:t>20-S1-1103</w:t>
            </w:r>
          </w:p>
        </w:tc>
        <w:tc>
          <w:tcPr>
            <w:tcW w:w="4394" w:type="dxa"/>
            <w:noWrap/>
            <w:hideMark/>
          </w:tcPr>
          <w:p w14:paraId="7F3C8E2E" w14:textId="77777777" w:rsidR="005F08B9" w:rsidRPr="002C3A75" w:rsidRDefault="005F08B9" w:rsidP="00A179C0">
            <w:pPr>
              <w:rPr>
                <w:rFonts w:asciiTheme="majorBidi" w:hAnsiTheme="majorBidi" w:cstheme="majorBidi"/>
                <w:sz w:val="16"/>
                <w:szCs w:val="16"/>
              </w:rPr>
            </w:pPr>
            <w:r w:rsidRPr="002C3A75">
              <w:rPr>
                <w:rFonts w:asciiTheme="majorBidi" w:hAnsiTheme="majorBidi" w:cstheme="majorBidi"/>
                <w:sz w:val="16"/>
                <w:szCs w:val="16"/>
              </w:rPr>
              <w:t>Ligoninės pastato Žygimantų g. 8, Vilniuje kapitalinio remonto projekto techninės priežiūros sutartis</w:t>
            </w:r>
          </w:p>
        </w:tc>
        <w:tc>
          <w:tcPr>
            <w:tcW w:w="1134" w:type="dxa"/>
            <w:noWrap/>
            <w:hideMark/>
          </w:tcPr>
          <w:p w14:paraId="51276A94" w14:textId="77777777" w:rsidR="005F08B9" w:rsidRPr="002C3A75" w:rsidRDefault="005F08B9" w:rsidP="00A179C0">
            <w:pPr>
              <w:rPr>
                <w:rFonts w:asciiTheme="majorBidi" w:hAnsiTheme="majorBidi" w:cstheme="majorBidi"/>
                <w:sz w:val="16"/>
                <w:szCs w:val="16"/>
              </w:rPr>
            </w:pPr>
            <w:r w:rsidRPr="002C3A75">
              <w:rPr>
                <w:rFonts w:asciiTheme="majorBidi" w:hAnsiTheme="majorBidi" w:cstheme="majorBidi"/>
                <w:sz w:val="16"/>
                <w:szCs w:val="16"/>
              </w:rPr>
              <w:t>2024-04-30</w:t>
            </w:r>
          </w:p>
        </w:tc>
        <w:tc>
          <w:tcPr>
            <w:tcW w:w="1112" w:type="dxa"/>
            <w:noWrap/>
            <w:hideMark/>
          </w:tcPr>
          <w:p w14:paraId="703090F2" w14:textId="77777777" w:rsidR="005F08B9" w:rsidRPr="0035194C" w:rsidRDefault="005F08B9" w:rsidP="00A179C0">
            <w:pPr>
              <w:rPr>
                <w:rFonts w:asciiTheme="majorBidi" w:hAnsiTheme="majorBidi" w:cstheme="majorBidi"/>
                <w:sz w:val="16"/>
                <w:szCs w:val="16"/>
              </w:rPr>
            </w:pPr>
            <w:r w:rsidRPr="0035194C">
              <w:rPr>
                <w:rFonts w:asciiTheme="majorBidi" w:hAnsiTheme="majorBidi" w:cstheme="majorBidi"/>
                <w:sz w:val="16"/>
                <w:szCs w:val="16"/>
              </w:rPr>
              <w:t>2022-03-04</w:t>
            </w:r>
          </w:p>
        </w:tc>
        <w:tc>
          <w:tcPr>
            <w:tcW w:w="973" w:type="dxa"/>
            <w:noWrap/>
            <w:hideMark/>
          </w:tcPr>
          <w:p w14:paraId="1235844F" w14:textId="77777777" w:rsidR="005F08B9" w:rsidRPr="002C3A75" w:rsidRDefault="005F08B9" w:rsidP="00A179C0">
            <w:pPr>
              <w:rPr>
                <w:rFonts w:asciiTheme="majorBidi" w:hAnsiTheme="majorBidi" w:cstheme="majorBidi"/>
                <w:sz w:val="16"/>
                <w:szCs w:val="16"/>
              </w:rPr>
            </w:pPr>
            <w:r w:rsidRPr="002C3A75">
              <w:rPr>
                <w:rFonts w:asciiTheme="majorBidi" w:hAnsiTheme="majorBidi" w:cstheme="majorBidi"/>
                <w:sz w:val="16"/>
                <w:szCs w:val="16"/>
              </w:rPr>
              <w:t>43400</w:t>
            </w:r>
          </w:p>
        </w:tc>
        <w:tc>
          <w:tcPr>
            <w:tcW w:w="1027" w:type="dxa"/>
            <w:noWrap/>
            <w:hideMark/>
          </w:tcPr>
          <w:p w14:paraId="2A218FDC" w14:textId="77777777" w:rsidR="005F08B9" w:rsidRPr="002C3A75" w:rsidRDefault="005F08B9" w:rsidP="00A179C0">
            <w:pPr>
              <w:rPr>
                <w:rFonts w:asciiTheme="majorBidi" w:hAnsiTheme="majorBidi" w:cstheme="majorBidi"/>
                <w:sz w:val="16"/>
                <w:szCs w:val="16"/>
              </w:rPr>
            </w:pPr>
            <w:r w:rsidRPr="002C3A75">
              <w:rPr>
                <w:rFonts w:asciiTheme="majorBidi" w:hAnsiTheme="majorBidi" w:cstheme="majorBidi"/>
                <w:sz w:val="16"/>
                <w:szCs w:val="16"/>
              </w:rPr>
              <w:t>7460</w:t>
            </w:r>
          </w:p>
        </w:tc>
      </w:tr>
      <w:tr w:rsidR="005F08B9" w:rsidRPr="002C3A75" w14:paraId="79263F36" w14:textId="77777777" w:rsidTr="00A179C0">
        <w:trPr>
          <w:trHeight w:val="290"/>
        </w:trPr>
        <w:tc>
          <w:tcPr>
            <w:tcW w:w="988" w:type="dxa"/>
            <w:noWrap/>
            <w:hideMark/>
          </w:tcPr>
          <w:p w14:paraId="51C47567" w14:textId="77777777" w:rsidR="005F08B9" w:rsidRPr="002C3A75" w:rsidRDefault="005F08B9" w:rsidP="00A179C0">
            <w:pPr>
              <w:rPr>
                <w:rFonts w:asciiTheme="majorBidi" w:hAnsiTheme="majorBidi" w:cstheme="majorBidi"/>
                <w:sz w:val="16"/>
                <w:szCs w:val="16"/>
              </w:rPr>
            </w:pPr>
            <w:r w:rsidRPr="002C3A75">
              <w:rPr>
                <w:rFonts w:asciiTheme="majorBidi" w:hAnsiTheme="majorBidi" w:cstheme="majorBidi"/>
                <w:sz w:val="16"/>
                <w:szCs w:val="16"/>
              </w:rPr>
              <w:t>22-S1-1394</w:t>
            </w:r>
          </w:p>
        </w:tc>
        <w:tc>
          <w:tcPr>
            <w:tcW w:w="4394" w:type="dxa"/>
            <w:noWrap/>
            <w:hideMark/>
          </w:tcPr>
          <w:p w14:paraId="78D8CA54" w14:textId="77777777" w:rsidR="005F08B9" w:rsidRPr="002C3A75" w:rsidRDefault="005F08B9" w:rsidP="00A179C0">
            <w:pPr>
              <w:rPr>
                <w:rFonts w:asciiTheme="majorBidi" w:hAnsiTheme="majorBidi" w:cstheme="majorBidi"/>
                <w:sz w:val="16"/>
                <w:szCs w:val="16"/>
              </w:rPr>
            </w:pPr>
            <w:r w:rsidRPr="002C3A75">
              <w:rPr>
                <w:rFonts w:asciiTheme="majorBidi" w:hAnsiTheme="majorBidi" w:cstheme="majorBidi"/>
                <w:sz w:val="16"/>
                <w:szCs w:val="16"/>
              </w:rPr>
              <w:t>J. Jablonskio g. 30, Anykščiai modernizavimo techninės priežiūros paslaugų pirkimas</w:t>
            </w:r>
          </w:p>
        </w:tc>
        <w:tc>
          <w:tcPr>
            <w:tcW w:w="1134" w:type="dxa"/>
            <w:noWrap/>
            <w:hideMark/>
          </w:tcPr>
          <w:p w14:paraId="2FD6F785" w14:textId="77777777" w:rsidR="005F08B9" w:rsidRPr="002C3A75" w:rsidRDefault="005F08B9" w:rsidP="00A179C0">
            <w:pPr>
              <w:rPr>
                <w:rFonts w:asciiTheme="majorBidi" w:hAnsiTheme="majorBidi" w:cstheme="majorBidi"/>
                <w:sz w:val="16"/>
                <w:szCs w:val="16"/>
              </w:rPr>
            </w:pPr>
            <w:r w:rsidRPr="002C3A75">
              <w:rPr>
                <w:rFonts w:asciiTheme="majorBidi" w:hAnsiTheme="majorBidi" w:cstheme="majorBidi"/>
                <w:sz w:val="16"/>
                <w:szCs w:val="16"/>
              </w:rPr>
              <w:t>2025-09-12</w:t>
            </w:r>
          </w:p>
        </w:tc>
        <w:tc>
          <w:tcPr>
            <w:tcW w:w="1112" w:type="dxa"/>
            <w:noWrap/>
            <w:hideMark/>
          </w:tcPr>
          <w:p w14:paraId="64E27EA8" w14:textId="77777777" w:rsidR="005F08B9" w:rsidRPr="0035194C" w:rsidRDefault="005F08B9" w:rsidP="00A179C0">
            <w:pPr>
              <w:rPr>
                <w:rFonts w:asciiTheme="majorBidi" w:hAnsiTheme="majorBidi" w:cstheme="majorBidi"/>
                <w:sz w:val="16"/>
                <w:szCs w:val="16"/>
              </w:rPr>
            </w:pPr>
            <w:r w:rsidRPr="0035194C">
              <w:rPr>
                <w:rFonts w:asciiTheme="majorBidi" w:hAnsiTheme="majorBidi" w:cstheme="majorBidi"/>
                <w:sz w:val="16"/>
                <w:szCs w:val="16"/>
              </w:rPr>
              <w:t>2023-12-21</w:t>
            </w:r>
          </w:p>
        </w:tc>
        <w:tc>
          <w:tcPr>
            <w:tcW w:w="973" w:type="dxa"/>
            <w:noWrap/>
            <w:hideMark/>
          </w:tcPr>
          <w:p w14:paraId="6021EEF6" w14:textId="77777777" w:rsidR="005F08B9" w:rsidRPr="002C3A75" w:rsidRDefault="005F08B9" w:rsidP="00A179C0">
            <w:pPr>
              <w:rPr>
                <w:rFonts w:asciiTheme="majorBidi" w:hAnsiTheme="majorBidi" w:cstheme="majorBidi"/>
                <w:sz w:val="16"/>
                <w:szCs w:val="16"/>
              </w:rPr>
            </w:pPr>
            <w:r w:rsidRPr="002C3A75">
              <w:rPr>
                <w:rFonts w:asciiTheme="majorBidi" w:hAnsiTheme="majorBidi" w:cstheme="majorBidi"/>
                <w:sz w:val="16"/>
                <w:szCs w:val="16"/>
              </w:rPr>
              <w:t>43400</w:t>
            </w:r>
          </w:p>
        </w:tc>
        <w:tc>
          <w:tcPr>
            <w:tcW w:w="1027" w:type="dxa"/>
            <w:noWrap/>
            <w:hideMark/>
          </w:tcPr>
          <w:p w14:paraId="10D93DD8" w14:textId="77777777" w:rsidR="005F08B9" w:rsidRPr="002C3A75" w:rsidRDefault="005F08B9" w:rsidP="00A179C0">
            <w:pPr>
              <w:rPr>
                <w:rFonts w:asciiTheme="majorBidi" w:hAnsiTheme="majorBidi" w:cstheme="majorBidi"/>
                <w:sz w:val="16"/>
                <w:szCs w:val="16"/>
              </w:rPr>
            </w:pPr>
            <w:r w:rsidRPr="002C3A75">
              <w:rPr>
                <w:rFonts w:asciiTheme="majorBidi" w:hAnsiTheme="majorBidi" w:cstheme="majorBidi"/>
                <w:sz w:val="16"/>
                <w:szCs w:val="16"/>
              </w:rPr>
              <w:t>3991,69</w:t>
            </w:r>
          </w:p>
        </w:tc>
      </w:tr>
      <w:tr w:rsidR="005F08B9" w:rsidRPr="002C3A75" w14:paraId="56C0152F" w14:textId="77777777" w:rsidTr="00A179C0">
        <w:trPr>
          <w:trHeight w:val="290"/>
        </w:trPr>
        <w:tc>
          <w:tcPr>
            <w:tcW w:w="988" w:type="dxa"/>
            <w:noWrap/>
            <w:hideMark/>
          </w:tcPr>
          <w:p w14:paraId="4B540037" w14:textId="77777777" w:rsidR="005F08B9" w:rsidRPr="002C3A75" w:rsidRDefault="005F08B9" w:rsidP="00A179C0">
            <w:pPr>
              <w:rPr>
                <w:rFonts w:asciiTheme="majorBidi" w:hAnsiTheme="majorBidi" w:cstheme="majorBidi"/>
                <w:sz w:val="16"/>
                <w:szCs w:val="16"/>
              </w:rPr>
            </w:pPr>
            <w:r w:rsidRPr="002C3A75">
              <w:rPr>
                <w:rFonts w:asciiTheme="majorBidi" w:hAnsiTheme="majorBidi" w:cstheme="majorBidi"/>
                <w:sz w:val="16"/>
                <w:szCs w:val="16"/>
              </w:rPr>
              <w:lastRenderedPageBreak/>
              <w:t>21-S1-45</w:t>
            </w:r>
          </w:p>
        </w:tc>
        <w:tc>
          <w:tcPr>
            <w:tcW w:w="4394" w:type="dxa"/>
            <w:noWrap/>
            <w:hideMark/>
          </w:tcPr>
          <w:p w14:paraId="709912B9" w14:textId="77777777" w:rsidR="005F08B9" w:rsidRPr="002C3A75" w:rsidRDefault="005F08B9" w:rsidP="00A179C0">
            <w:pPr>
              <w:rPr>
                <w:rFonts w:asciiTheme="majorBidi" w:hAnsiTheme="majorBidi" w:cstheme="majorBidi"/>
                <w:sz w:val="16"/>
                <w:szCs w:val="16"/>
              </w:rPr>
            </w:pPr>
            <w:r w:rsidRPr="002C3A75">
              <w:rPr>
                <w:rFonts w:asciiTheme="majorBidi" w:hAnsiTheme="majorBidi" w:cstheme="majorBidi"/>
                <w:sz w:val="16"/>
                <w:szCs w:val="16"/>
              </w:rPr>
              <w:t>Projektavimo paslaugų pirkimas J. Jablonskio g.30, Anykščiai</w:t>
            </w:r>
          </w:p>
        </w:tc>
        <w:tc>
          <w:tcPr>
            <w:tcW w:w="1134" w:type="dxa"/>
            <w:noWrap/>
            <w:hideMark/>
          </w:tcPr>
          <w:p w14:paraId="3B702DC1" w14:textId="77777777" w:rsidR="005F08B9" w:rsidRPr="002C3A75" w:rsidRDefault="005F08B9" w:rsidP="00A179C0">
            <w:pPr>
              <w:rPr>
                <w:rFonts w:asciiTheme="majorBidi" w:hAnsiTheme="majorBidi" w:cstheme="majorBidi"/>
                <w:sz w:val="16"/>
                <w:szCs w:val="16"/>
              </w:rPr>
            </w:pPr>
            <w:r w:rsidRPr="002C3A75">
              <w:rPr>
                <w:rFonts w:asciiTheme="majorBidi" w:hAnsiTheme="majorBidi" w:cstheme="majorBidi"/>
                <w:sz w:val="16"/>
                <w:szCs w:val="16"/>
              </w:rPr>
              <w:t>2024-01-12</w:t>
            </w:r>
          </w:p>
        </w:tc>
        <w:tc>
          <w:tcPr>
            <w:tcW w:w="1112" w:type="dxa"/>
            <w:noWrap/>
            <w:hideMark/>
          </w:tcPr>
          <w:p w14:paraId="59982A57" w14:textId="77777777" w:rsidR="005F08B9" w:rsidRPr="0035194C" w:rsidRDefault="005F08B9" w:rsidP="00A179C0">
            <w:pPr>
              <w:rPr>
                <w:rFonts w:asciiTheme="majorBidi" w:hAnsiTheme="majorBidi" w:cstheme="majorBidi"/>
                <w:sz w:val="16"/>
                <w:szCs w:val="16"/>
              </w:rPr>
            </w:pPr>
            <w:r w:rsidRPr="0035194C">
              <w:rPr>
                <w:rFonts w:asciiTheme="majorBidi" w:hAnsiTheme="majorBidi" w:cstheme="majorBidi"/>
                <w:sz w:val="16"/>
                <w:szCs w:val="16"/>
              </w:rPr>
              <w:t>2024-02-13</w:t>
            </w:r>
          </w:p>
        </w:tc>
        <w:tc>
          <w:tcPr>
            <w:tcW w:w="973" w:type="dxa"/>
            <w:noWrap/>
            <w:hideMark/>
          </w:tcPr>
          <w:p w14:paraId="3D9D34A8" w14:textId="77777777" w:rsidR="005F08B9" w:rsidRPr="002C3A75" w:rsidRDefault="005F08B9" w:rsidP="00A179C0">
            <w:pPr>
              <w:rPr>
                <w:rFonts w:asciiTheme="majorBidi" w:hAnsiTheme="majorBidi" w:cstheme="majorBidi"/>
                <w:sz w:val="16"/>
                <w:szCs w:val="16"/>
              </w:rPr>
            </w:pPr>
            <w:r w:rsidRPr="002C3A75">
              <w:rPr>
                <w:rFonts w:asciiTheme="majorBidi" w:hAnsiTheme="majorBidi" w:cstheme="majorBidi"/>
                <w:sz w:val="16"/>
                <w:szCs w:val="16"/>
              </w:rPr>
              <w:t>290000</w:t>
            </w:r>
          </w:p>
        </w:tc>
        <w:tc>
          <w:tcPr>
            <w:tcW w:w="1027" w:type="dxa"/>
            <w:noWrap/>
            <w:hideMark/>
          </w:tcPr>
          <w:p w14:paraId="52F9DDD5" w14:textId="77777777" w:rsidR="005F08B9" w:rsidRPr="002C3A75" w:rsidRDefault="005F08B9" w:rsidP="00A179C0">
            <w:pPr>
              <w:rPr>
                <w:rFonts w:asciiTheme="majorBidi" w:hAnsiTheme="majorBidi" w:cstheme="majorBidi"/>
                <w:sz w:val="16"/>
                <w:szCs w:val="16"/>
              </w:rPr>
            </w:pPr>
            <w:r w:rsidRPr="002C3A75">
              <w:rPr>
                <w:rFonts w:asciiTheme="majorBidi" w:hAnsiTheme="majorBidi" w:cstheme="majorBidi"/>
                <w:sz w:val="16"/>
                <w:szCs w:val="16"/>
              </w:rPr>
              <w:t>35428,8</w:t>
            </w:r>
          </w:p>
        </w:tc>
      </w:tr>
      <w:tr w:rsidR="005F08B9" w:rsidRPr="002C3A75" w14:paraId="34006000" w14:textId="77777777" w:rsidTr="00A179C0">
        <w:trPr>
          <w:trHeight w:val="221"/>
        </w:trPr>
        <w:tc>
          <w:tcPr>
            <w:tcW w:w="988" w:type="dxa"/>
            <w:noWrap/>
            <w:hideMark/>
          </w:tcPr>
          <w:p w14:paraId="21F99FFE" w14:textId="77777777" w:rsidR="005F08B9" w:rsidRPr="002C3A75" w:rsidRDefault="005F08B9" w:rsidP="00A179C0">
            <w:pPr>
              <w:rPr>
                <w:rFonts w:asciiTheme="majorBidi" w:hAnsiTheme="majorBidi" w:cstheme="majorBidi"/>
                <w:sz w:val="16"/>
                <w:szCs w:val="16"/>
              </w:rPr>
            </w:pPr>
            <w:r w:rsidRPr="002C3A75">
              <w:rPr>
                <w:rFonts w:asciiTheme="majorBidi" w:hAnsiTheme="majorBidi" w:cstheme="majorBidi"/>
                <w:sz w:val="16"/>
                <w:szCs w:val="16"/>
              </w:rPr>
              <w:t>21-S1-315</w:t>
            </w:r>
          </w:p>
        </w:tc>
        <w:tc>
          <w:tcPr>
            <w:tcW w:w="4394" w:type="dxa"/>
            <w:noWrap/>
            <w:hideMark/>
          </w:tcPr>
          <w:p w14:paraId="007B86AE" w14:textId="77777777" w:rsidR="005F08B9" w:rsidRPr="002C3A75" w:rsidRDefault="005F08B9" w:rsidP="00A179C0">
            <w:pPr>
              <w:rPr>
                <w:rFonts w:asciiTheme="majorBidi" w:hAnsiTheme="majorBidi" w:cstheme="majorBidi"/>
                <w:sz w:val="16"/>
                <w:szCs w:val="16"/>
              </w:rPr>
            </w:pPr>
            <w:r w:rsidRPr="002C3A75">
              <w:rPr>
                <w:rFonts w:asciiTheme="majorBidi" w:hAnsiTheme="majorBidi" w:cstheme="majorBidi"/>
                <w:sz w:val="16"/>
                <w:szCs w:val="16"/>
              </w:rPr>
              <w:t>A. Jakšto g, 1, Vilniuje, projektavimo paslaugos</w:t>
            </w:r>
          </w:p>
        </w:tc>
        <w:tc>
          <w:tcPr>
            <w:tcW w:w="1134" w:type="dxa"/>
            <w:noWrap/>
            <w:hideMark/>
          </w:tcPr>
          <w:p w14:paraId="1DEA658E" w14:textId="77777777" w:rsidR="005F08B9" w:rsidRPr="002C3A75" w:rsidRDefault="005F08B9" w:rsidP="00A179C0">
            <w:pPr>
              <w:rPr>
                <w:rFonts w:asciiTheme="majorBidi" w:hAnsiTheme="majorBidi" w:cstheme="majorBidi"/>
                <w:sz w:val="16"/>
                <w:szCs w:val="16"/>
              </w:rPr>
            </w:pPr>
            <w:r w:rsidRPr="002C3A75">
              <w:rPr>
                <w:rFonts w:asciiTheme="majorBidi" w:hAnsiTheme="majorBidi" w:cstheme="majorBidi"/>
                <w:sz w:val="16"/>
                <w:szCs w:val="16"/>
              </w:rPr>
              <w:t>2024-02-25</w:t>
            </w:r>
          </w:p>
        </w:tc>
        <w:tc>
          <w:tcPr>
            <w:tcW w:w="1112" w:type="dxa"/>
            <w:noWrap/>
            <w:hideMark/>
          </w:tcPr>
          <w:p w14:paraId="4446AFBC" w14:textId="77777777" w:rsidR="005F08B9" w:rsidRPr="0035194C" w:rsidRDefault="005F08B9" w:rsidP="00A179C0">
            <w:pPr>
              <w:rPr>
                <w:rFonts w:asciiTheme="majorBidi" w:hAnsiTheme="majorBidi" w:cstheme="majorBidi"/>
                <w:sz w:val="16"/>
                <w:szCs w:val="16"/>
              </w:rPr>
            </w:pPr>
            <w:r w:rsidRPr="0035194C">
              <w:rPr>
                <w:rFonts w:asciiTheme="majorBidi" w:hAnsiTheme="majorBidi" w:cstheme="majorBidi"/>
                <w:sz w:val="16"/>
                <w:szCs w:val="16"/>
              </w:rPr>
              <w:t>2024-04-21</w:t>
            </w:r>
          </w:p>
        </w:tc>
        <w:tc>
          <w:tcPr>
            <w:tcW w:w="973" w:type="dxa"/>
            <w:noWrap/>
            <w:hideMark/>
          </w:tcPr>
          <w:p w14:paraId="66D098A6" w14:textId="77777777" w:rsidR="005F08B9" w:rsidRPr="002C3A75" w:rsidRDefault="005F08B9" w:rsidP="00A179C0">
            <w:pPr>
              <w:rPr>
                <w:rFonts w:asciiTheme="majorBidi" w:hAnsiTheme="majorBidi" w:cstheme="majorBidi"/>
                <w:sz w:val="16"/>
                <w:szCs w:val="16"/>
              </w:rPr>
            </w:pPr>
            <w:r w:rsidRPr="002C3A75">
              <w:rPr>
                <w:rFonts w:asciiTheme="majorBidi" w:hAnsiTheme="majorBidi" w:cstheme="majorBidi"/>
                <w:sz w:val="16"/>
                <w:szCs w:val="16"/>
              </w:rPr>
              <w:t>290000</w:t>
            </w:r>
          </w:p>
        </w:tc>
        <w:tc>
          <w:tcPr>
            <w:tcW w:w="1027" w:type="dxa"/>
            <w:noWrap/>
            <w:hideMark/>
          </w:tcPr>
          <w:p w14:paraId="6B7CF643" w14:textId="77777777" w:rsidR="005F08B9" w:rsidRPr="002C3A75" w:rsidRDefault="005F08B9" w:rsidP="00A179C0">
            <w:pPr>
              <w:rPr>
                <w:rFonts w:asciiTheme="majorBidi" w:hAnsiTheme="majorBidi" w:cstheme="majorBidi"/>
                <w:sz w:val="16"/>
                <w:szCs w:val="16"/>
              </w:rPr>
            </w:pPr>
            <w:r w:rsidRPr="002C3A75">
              <w:rPr>
                <w:rFonts w:asciiTheme="majorBidi" w:hAnsiTheme="majorBidi" w:cstheme="majorBidi"/>
                <w:sz w:val="16"/>
                <w:szCs w:val="16"/>
              </w:rPr>
              <w:t>119669</w:t>
            </w:r>
          </w:p>
        </w:tc>
      </w:tr>
      <w:tr w:rsidR="005F08B9" w:rsidRPr="002C3A75" w14:paraId="54D564BA" w14:textId="77777777" w:rsidTr="00A179C0">
        <w:trPr>
          <w:trHeight w:val="399"/>
        </w:trPr>
        <w:tc>
          <w:tcPr>
            <w:tcW w:w="988" w:type="dxa"/>
            <w:noWrap/>
            <w:hideMark/>
          </w:tcPr>
          <w:p w14:paraId="0D6FBCFD" w14:textId="77777777" w:rsidR="005F08B9" w:rsidRPr="002C3A75" w:rsidRDefault="005F08B9" w:rsidP="00A179C0">
            <w:pPr>
              <w:rPr>
                <w:rFonts w:asciiTheme="majorBidi" w:hAnsiTheme="majorBidi" w:cstheme="majorBidi"/>
                <w:sz w:val="16"/>
                <w:szCs w:val="16"/>
              </w:rPr>
            </w:pPr>
            <w:r w:rsidRPr="002C3A75">
              <w:rPr>
                <w:rFonts w:asciiTheme="majorBidi" w:hAnsiTheme="majorBidi" w:cstheme="majorBidi"/>
                <w:sz w:val="16"/>
                <w:szCs w:val="16"/>
              </w:rPr>
              <w:t>22-S1-1710</w:t>
            </w:r>
          </w:p>
        </w:tc>
        <w:tc>
          <w:tcPr>
            <w:tcW w:w="4394" w:type="dxa"/>
            <w:noWrap/>
            <w:hideMark/>
          </w:tcPr>
          <w:p w14:paraId="12B1F959" w14:textId="77777777" w:rsidR="005F08B9" w:rsidRPr="002C3A75" w:rsidRDefault="005F08B9" w:rsidP="00A179C0">
            <w:pPr>
              <w:rPr>
                <w:rFonts w:asciiTheme="majorBidi" w:hAnsiTheme="majorBidi" w:cstheme="majorBidi"/>
                <w:sz w:val="16"/>
                <w:szCs w:val="16"/>
              </w:rPr>
            </w:pPr>
            <w:r w:rsidRPr="002C3A75">
              <w:rPr>
                <w:rFonts w:asciiTheme="majorBidi" w:hAnsiTheme="majorBidi" w:cstheme="majorBidi"/>
                <w:sz w:val="16"/>
                <w:szCs w:val="16"/>
              </w:rPr>
              <w:t>Rangos sutartis Naikupės g. 27A, Klaipėda, modernizavimo statybos darbų pirkimas</w:t>
            </w:r>
          </w:p>
        </w:tc>
        <w:tc>
          <w:tcPr>
            <w:tcW w:w="1134" w:type="dxa"/>
            <w:noWrap/>
            <w:hideMark/>
          </w:tcPr>
          <w:p w14:paraId="50B79117" w14:textId="77777777" w:rsidR="005F08B9" w:rsidRPr="002C3A75" w:rsidRDefault="005F08B9" w:rsidP="00A179C0">
            <w:pPr>
              <w:rPr>
                <w:rFonts w:asciiTheme="majorBidi" w:hAnsiTheme="majorBidi" w:cstheme="majorBidi"/>
                <w:sz w:val="16"/>
                <w:szCs w:val="16"/>
              </w:rPr>
            </w:pPr>
            <w:r w:rsidRPr="002C3A75">
              <w:rPr>
                <w:rFonts w:asciiTheme="majorBidi" w:hAnsiTheme="majorBidi" w:cstheme="majorBidi"/>
                <w:sz w:val="16"/>
                <w:szCs w:val="16"/>
              </w:rPr>
              <w:t>2024-04-30</w:t>
            </w:r>
          </w:p>
        </w:tc>
        <w:tc>
          <w:tcPr>
            <w:tcW w:w="1112" w:type="dxa"/>
            <w:noWrap/>
            <w:hideMark/>
          </w:tcPr>
          <w:p w14:paraId="2D45FD51" w14:textId="77777777" w:rsidR="005F08B9" w:rsidRPr="0035194C" w:rsidRDefault="005F08B9" w:rsidP="00A179C0">
            <w:pPr>
              <w:rPr>
                <w:rFonts w:asciiTheme="majorBidi" w:hAnsiTheme="majorBidi" w:cstheme="majorBidi"/>
                <w:sz w:val="16"/>
                <w:szCs w:val="16"/>
              </w:rPr>
            </w:pPr>
            <w:r w:rsidRPr="0035194C">
              <w:rPr>
                <w:rFonts w:asciiTheme="majorBidi" w:hAnsiTheme="majorBidi" w:cstheme="majorBidi"/>
                <w:sz w:val="16"/>
                <w:szCs w:val="16"/>
              </w:rPr>
              <w:t>2024-07-15</w:t>
            </w:r>
          </w:p>
        </w:tc>
        <w:tc>
          <w:tcPr>
            <w:tcW w:w="973" w:type="dxa"/>
            <w:noWrap/>
            <w:hideMark/>
          </w:tcPr>
          <w:p w14:paraId="7113DDB8" w14:textId="77777777" w:rsidR="005F08B9" w:rsidRPr="002C3A75" w:rsidRDefault="005F08B9" w:rsidP="00A179C0">
            <w:pPr>
              <w:rPr>
                <w:rFonts w:asciiTheme="majorBidi" w:hAnsiTheme="majorBidi" w:cstheme="majorBidi"/>
                <w:sz w:val="16"/>
                <w:szCs w:val="16"/>
              </w:rPr>
            </w:pPr>
            <w:r w:rsidRPr="002C3A75">
              <w:rPr>
                <w:rFonts w:asciiTheme="majorBidi" w:hAnsiTheme="majorBidi" w:cstheme="majorBidi"/>
                <w:sz w:val="16"/>
                <w:szCs w:val="16"/>
              </w:rPr>
              <w:t>43400</w:t>
            </w:r>
          </w:p>
        </w:tc>
        <w:tc>
          <w:tcPr>
            <w:tcW w:w="1027" w:type="dxa"/>
            <w:noWrap/>
            <w:hideMark/>
          </w:tcPr>
          <w:p w14:paraId="222DDF1F" w14:textId="77777777" w:rsidR="005F08B9" w:rsidRPr="002C3A75" w:rsidRDefault="005F08B9" w:rsidP="00A179C0">
            <w:pPr>
              <w:rPr>
                <w:rFonts w:asciiTheme="majorBidi" w:hAnsiTheme="majorBidi" w:cstheme="majorBidi"/>
                <w:sz w:val="16"/>
                <w:szCs w:val="16"/>
              </w:rPr>
            </w:pPr>
            <w:r w:rsidRPr="002C3A75">
              <w:rPr>
                <w:rFonts w:asciiTheme="majorBidi" w:hAnsiTheme="majorBidi" w:cstheme="majorBidi"/>
                <w:sz w:val="16"/>
                <w:szCs w:val="16"/>
              </w:rPr>
              <w:t>2342025</w:t>
            </w:r>
          </w:p>
        </w:tc>
      </w:tr>
      <w:tr w:rsidR="005F08B9" w:rsidRPr="002C3A75" w14:paraId="799915AE" w14:textId="77777777" w:rsidTr="00A179C0">
        <w:trPr>
          <w:trHeight w:val="290"/>
        </w:trPr>
        <w:tc>
          <w:tcPr>
            <w:tcW w:w="988" w:type="dxa"/>
            <w:noWrap/>
            <w:hideMark/>
          </w:tcPr>
          <w:p w14:paraId="198623D1" w14:textId="77777777" w:rsidR="005F08B9" w:rsidRPr="002C3A75" w:rsidRDefault="005F08B9" w:rsidP="00A179C0">
            <w:pPr>
              <w:rPr>
                <w:rFonts w:asciiTheme="majorBidi" w:hAnsiTheme="majorBidi" w:cstheme="majorBidi"/>
                <w:sz w:val="16"/>
                <w:szCs w:val="16"/>
              </w:rPr>
            </w:pPr>
            <w:r w:rsidRPr="002C3A75">
              <w:rPr>
                <w:rFonts w:asciiTheme="majorBidi" w:hAnsiTheme="majorBidi" w:cstheme="majorBidi"/>
                <w:sz w:val="16"/>
                <w:szCs w:val="16"/>
              </w:rPr>
              <w:t>24-S1-311</w:t>
            </w:r>
          </w:p>
        </w:tc>
        <w:tc>
          <w:tcPr>
            <w:tcW w:w="4394" w:type="dxa"/>
            <w:noWrap/>
            <w:hideMark/>
          </w:tcPr>
          <w:p w14:paraId="4A18C026" w14:textId="77777777" w:rsidR="005F08B9" w:rsidRPr="002C3A75" w:rsidRDefault="005F08B9" w:rsidP="00A179C0">
            <w:pPr>
              <w:rPr>
                <w:rFonts w:asciiTheme="majorBidi" w:hAnsiTheme="majorBidi" w:cstheme="majorBidi"/>
                <w:sz w:val="16"/>
                <w:szCs w:val="16"/>
              </w:rPr>
            </w:pPr>
            <w:r w:rsidRPr="002C3A75">
              <w:rPr>
                <w:rFonts w:asciiTheme="majorBidi" w:hAnsiTheme="majorBidi" w:cstheme="majorBidi"/>
                <w:sz w:val="16"/>
                <w:szCs w:val="16"/>
              </w:rPr>
              <w:t>Modernizavimo, rekonstrukcijos, techninio darbo projekto ekspertizė</w:t>
            </w:r>
          </w:p>
        </w:tc>
        <w:tc>
          <w:tcPr>
            <w:tcW w:w="1134" w:type="dxa"/>
            <w:noWrap/>
            <w:hideMark/>
          </w:tcPr>
          <w:p w14:paraId="329046A0" w14:textId="77777777" w:rsidR="005F08B9" w:rsidRPr="002C3A75" w:rsidRDefault="005F08B9" w:rsidP="00A179C0">
            <w:pPr>
              <w:rPr>
                <w:rFonts w:asciiTheme="majorBidi" w:hAnsiTheme="majorBidi" w:cstheme="majorBidi"/>
                <w:sz w:val="16"/>
                <w:szCs w:val="16"/>
              </w:rPr>
            </w:pPr>
            <w:r w:rsidRPr="002C3A75">
              <w:rPr>
                <w:rFonts w:asciiTheme="majorBidi" w:hAnsiTheme="majorBidi" w:cstheme="majorBidi"/>
                <w:sz w:val="16"/>
                <w:szCs w:val="16"/>
              </w:rPr>
              <w:t>2024-05-20</w:t>
            </w:r>
          </w:p>
        </w:tc>
        <w:tc>
          <w:tcPr>
            <w:tcW w:w="1112" w:type="dxa"/>
            <w:noWrap/>
            <w:hideMark/>
          </w:tcPr>
          <w:p w14:paraId="63F23347" w14:textId="77777777" w:rsidR="005F08B9" w:rsidRPr="0035194C" w:rsidRDefault="005F08B9" w:rsidP="00A179C0">
            <w:pPr>
              <w:rPr>
                <w:rFonts w:asciiTheme="majorBidi" w:hAnsiTheme="majorBidi" w:cstheme="majorBidi"/>
                <w:sz w:val="16"/>
                <w:szCs w:val="16"/>
              </w:rPr>
            </w:pPr>
            <w:r w:rsidRPr="0035194C">
              <w:rPr>
                <w:rFonts w:asciiTheme="majorBidi" w:hAnsiTheme="majorBidi" w:cstheme="majorBidi"/>
                <w:sz w:val="16"/>
                <w:szCs w:val="16"/>
              </w:rPr>
              <w:t>2024-11-05</w:t>
            </w:r>
          </w:p>
        </w:tc>
        <w:tc>
          <w:tcPr>
            <w:tcW w:w="973" w:type="dxa"/>
            <w:noWrap/>
            <w:hideMark/>
          </w:tcPr>
          <w:p w14:paraId="5DA60BC0" w14:textId="77777777" w:rsidR="005F08B9" w:rsidRPr="002C3A75" w:rsidRDefault="005F08B9" w:rsidP="00A179C0">
            <w:pPr>
              <w:rPr>
                <w:rFonts w:asciiTheme="majorBidi" w:hAnsiTheme="majorBidi" w:cstheme="majorBidi"/>
                <w:sz w:val="16"/>
                <w:szCs w:val="16"/>
              </w:rPr>
            </w:pPr>
            <w:r w:rsidRPr="002C3A75">
              <w:rPr>
                <w:rFonts w:asciiTheme="majorBidi" w:hAnsiTheme="majorBidi" w:cstheme="majorBidi"/>
                <w:sz w:val="16"/>
                <w:szCs w:val="16"/>
              </w:rPr>
              <w:t>1000000</w:t>
            </w:r>
          </w:p>
        </w:tc>
        <w:tc>
          <w:tcPr>
            <w:tcW w:w="1027" w:type="dxa"/>
            <w:noWrap/>
            <w:hideMark/>
          </w:tcPr>
          <w:p w14:paraId="461DA03D" w14:textId="77777777" w:rsidR="005F08B9" w:rsidRPr="002C3A75" w:rsidRDefault="005F08B9" w:rsidP="00A179C0">
            <w:pPr>
              <w:rPr>
                <w:rFonts w:asciiTheme="majorBidi" w:hAnsiTheme="majorBidi" w:cstheme="majorBidi"/>
                <w:sz w:val="16"/>
                <w:szCs w:val="16"/>
              </w:rPr>
            </w:pPr>
            <w:r w:rsidRPr="002C3A75">
              <w:rPr>
                <w:rFonts w:asciiTheme="majorBidi" w:hAnsiTheme="majorBidi" w:cstheme="majorBidi"/>
                <w:sz w:val="16"/>
                <w:szCs w:val="16"/>
              </w:rPr>
              <w:t>3000</w:t>
            </w:r>
          </w:p>
        </w:tc>
      </w:tr>
      <w:tr w:rsidR="005F08B9" w:rsidRPr="002C3A75" w14:paraId="4C442B13" w14:textId="77777777" w:rsidTr="00A179C0">
        <w:trPr>
          <w:trHeight w:val="290"/>
        </w:trPr>
        <w:tc>
          <w:tcPr>
            <w:tcW w:w="988" w:type="dxa"/>
            <w:noWrap/>
            <w:hideMark/>
          </w:tcPr>
          <w:p w14:paraId="00E1A608" w14:textId="77777777" w:rsidR="005F08B9" w:rsidRPr="002C3A75" w:rsidRDefault="005F08B9" w:rsidP="00A179C0">
            <w:pPr>
              <w:rPr>
                <w:rFonts w:asciiTheme="majorBidi" w:hAnsiTheme="majorBidi" w:cstheme="majorBidi"/>
                <w:sz w:val="16"/>
                <w:szCs w:val="16"/>
              </w:rPr>
            </w:pPr>
            <w:r w:rsidRPr="002C3A75">
              <w:rPr>
                <w:rFonts w:asciiTheme="majorBidi" w:hAnsiTheme="majorBidi" w:cstheme="majorBidi"/>
                <w:sz w:val="16"/>
                <w:szCs w:val="16"/>
              </w:rPr>
              <w:t>23-S1-308</w:t>
            </w:r>
          </w:p>
        </w:tc>
        <w:tc>
          <w:tcPr>
            <w:tcW w:w="4394" w:type="dxa"/>
            <w:noWrap/>
            <w:hideMark/>
          </w:tcPr>
          <w:p w14:paraId="6BAB3115" w14:textId="77777777" w:rsidR="005F08B9" w:rsidRPr="002C3A75" w:rsidRDefault="005F08B9" w:rsidP="00A179C0">
            <w:pPr>
              <w:rPr>
                <w:rFonts w:asciiTheme="majorBidi" w:hAnsiTheme="majorBidi" w:cstheme="majorBidi"/>
                <w:sz w:val="16"/>
                <w:szCs w:val="16"/>
              </w:rPr>
            </w:pPr>
            <w:r w:rsidRPr="002C3A75">
              <w:rPr>
                <w:rFonts w:asciiTheme="majorBidi" w:hAnsiTheme="majorBidi" w:cstheme="majorBidi"/>
                <w:sz w:val="16"/>
                <w:szCs w:val="16"/>
              </w:rPr>
              <w:t>Statinio projekto vykdymo priežiūros paslaugos pirkimo</w:t>
            </w:r>
          </w:p>
        </w:tc>
        <w:tc>
          <w:tcPr>
            <w:tcW w:w="1134" w:type="dxa"/>
            <w:noWrap/>
            <w:hideMark/>
          </w:tcPr>
          <w:p w14:paraId="2186EAF8" w14:textId="77777777" w:rsidR="005F08B9" w:rsidRPr="002C3A75" w:rsidRDefault="005F08B9" w:rsidP="00A179C0">
            <w:pPr>
              <w:rPr>
                <w:rFonts w:asciiTheme="majorBidi" w:hAnsiTheme="majorBidi" w:cstheme="majorBidi"/>
                <w:sz w:val="16"/>
                <w:szCs w:val="16"/>
              </w:rPr>
            </w:pPr>
            <w:r w:rsidRPr="002C3A75">
              <w:rPr>
                <w:rFonts w:asciiTheme="majorBidi" w:hAnsiTheme="majorBidi" w:cstheme="majorBidi"/>
                <w:sz w:val="16"/>
                <w:szCs w:val="16"/>
              </w:rPr>
              <w:t>2024-02-18</w:t>
            </w:r>
          </w:p>
        </w:tc>
        <w:tc>
          <w:tcPr>
            <w:tcW w:w="1112" w:type="dxa"/>
            <w:noWrap/>
            <w:hideMark/>
          </w:tcPr>
          <w:p w14:paraId="4FF0E02B" w14:textId="77777777" w:rsidR="005F08B9" w:rsidRPr="002C3A75" w:rsidRDefault="005F08B9" w:rsidP="00A179C0">
            <w:pPr>
              <w:rPr>
                <w:rFonts w:asciiTheme="majorBidi" w:hAnsiTheme="majorBidi" w:cstheme="majorBidi"/>
                <w:sz w:val="16"/>
                <w:szCs w:val="16"/>
              </w:rPr>
            </w:pPr>
            <w:r w:rsidRPr="002C3A75">
              <w:rPr>
                <w:rFonts w:asciiTheme="majorBidi" w:hAnsiTheme="majorBidi" w:cstheme="majorBidi"/>
                <w:sz w:val="16"/>
                <w:szCs w:val="16"/>
              </w:rPr>
              <w:t>2024-11-13</w:t>
            </w:r>
          </w:p>
        </w:tc>
        <w:tc>
          <w:tcPr>
            <w:tcW w:w="973" w:type="dxa"/>
            <w:noWrap/>
            <w:hideMark/>
          </w:tcPr>
          <w:p w14:paraId="66D4B4AD" w14:textId="77777777" w:rsidR="005F08B9" w:rsidRPr="002C3A75" w:rsidRDefault="005F08B9" w:rsidP="00A179C0">
            <w:pPr>
              <w:rPr>
                <w:rFonts w:asciiTheme="majorBidi" w:hAnsiTheme="majorBidi" w:cstheme="majorBidi"/>
                <w:sz w:val="16"/>
                <w:szCs w:val="16"/>
              </w:rPr>
            </w:pPr>
            <w:r w:rsidRPr="002C3A75">
              <w:rPr>
                <w:rFonts w:asciiTheme="majorBidi" w:hAnsiTheme="majorBidi" w:cstheme="majorBidi"/>
                <w:sz w:val="16"/>
                <w:szCs w:val="16"/>
              </w:rPr>
              <w:t>290000</w:t>
            </w:r>
          </w:p>
        </w:tc>
        <w:tc>
          <w:tcPr>
            <w:tcW w:w="1027" w:type="dxa"/>
            <w:noWrap/>
            <w:hideMark/>
          </w:tcPr>
          <w:p w14:paraId="09242FA3" w14:textId="77777777" w:rsidR="005F08B9" w:rsidRPr="002C3A75" w:rsidRDefault="005F08B9" w:rsidP="00A179C0">
            <w:pPr>
              <w:rPr>
                <w:rFonts w:asciiTheme="majorBidi" w:hAnsiTheme="majorBidi" w:cstheme="majorBidi"/>
                <w:sz w:val="16"/>
                <w:szCs w:val="16"/>
              </w:rPr>
            </w:pPr>
            <w:r w:rsidRPr="002C3A75">
              <w:rPr>
                <w:rFonts w:asciiTheme="majorBidi" w:hAnsiTheme="majorBidi" w:cstheme="majorBidi"/>
                <w:sz w:val="16"/>
                <w:szCs w:val="16"/>
              </w:rPr>
              <w:t>3630</w:t>
            </w:r>
          </w:p>
        </w:tc>
      </w:tr>
      <w:tr w:rsidR="005F08B9" w:rsidRPr="002C3A75" w14:paraId="2E330A82" w14:textId="77777777" w:rsidTr="00A179C0">
        <w:trPr>
          <w:trHeight w:val="290"/>
        </w:trPr>
        <w:tc>
          <w:tcPr>
            <w:tcW w:w="988" w:type="dxa"/>
            <w:noWrap/>
            <w:hideMark/>
          </w:tcPr>
          <w:p w14:paraId="6E354DD8" w14:textId="77777777" w:rsidR="005F08B9" w:rsidRPr="002C3A75" w:rsidRDefault="005F08B9" w:rsidP="00A179C0">
            <w:pPr>
              <w:rPr>
                <w:rFonts w:asciiTheme="majorBidi" w:hAnsiTheme="majorBidi" w:cstheme="majorBidi"/>
                <w:sz w:val="16"/>
                <w:szCs w:val="16"/>
              </w:rPr>
            </w:pPr>
            <w:r w:rsidRPr="002C3A75">
              <w:rPr>
                <w:rFonts w:asciiTheme="majorBidi" w:hAnsiTheme="majorBidi" w:cstheme="majorBidi"/>
                <w:sz w:val="16"/>
                <w:szCs w:val="16"/>
              </w:rPr>
              <w:t>23-S1-684</w:t>
            </w:r>
          </w:p>
        </w:tc>
        <w:tc>
          <w:tcPr>
            <w:tcW w:w="4394" w:type="dxa"/>
            <w:noWrap/>
            <w:hideMark/>
          </w:tcPr>
          <w:p w14:paraId="0DF83E6C" w14:textId="77777777" w:rsidR="005F08B9" w:rsidRPr="002C3A75" w:rsidRDefault="005F08B9" w:rsidP="00A179C0">
            <w:pPr>
              <w:rPr>
                <w:rFonts w:asciiTheme="majorBidi" w:hAnsiTheme="majorBidi" w:cstheme="majorBidi"/>
                <w:sz w:val="16"/>
                <w:szCs w:val="16"/>
              </w:rPr>
            </w:pPr>
            <w:r w:rsidRPr="002C3A75">
              <w:rPr>
                <w:rFonts w:asciiTheme="majorBidi" w:hAnsiTheme="majorBidi" w:cstheme="majorBidi"/>
                <w:sz w:val="16"/>
                <w:szCs w:val="16"/>
              </w:rPr>
              <w:t>Griovimo darbų techninė priežiūra</w:t>
            </w:r>
          </w:p>
        </w:tc>
        <w:tc>
          <w:tcPr>
            <w:tcW w:w="1134" w:type="dxa"/>
            <w:noWrap/>
            <w:hideMark/>
          </w:tcPr>
          <w:p w14:paraId="077F7EE5" w14:textId="77777777" w:rsidR="005F08B9" w:rsidRPr="002C3A75" w:rsidRDefault="005F08B9" w:rsidP="00A179C0">
            <w:pPr>
              <w:rPr>
                <w:rFonts w:asciiTheme="majorBidi" w:hAnsiTheme="majorBidi" w:cstheme="majorBidi"/>
                <w:sz w:val="16"/>
                <w:szCs w:val="16"/>
              </w:rPr>
            </w:pPr>
            <w:r w:rsidRPr="002C3A75">
              <w:rPr>
                <w:rFonts w:asciiTheme="majorBidi" w:hAnsiTheme="majorBidi" w:cstheme="majorBidi"/>
                <w:sz w:val="16"/>
                <w:szCs w:val="16"/>
              </w:rPr>
              <w:t>2024-01-14</w:t>
            </w:r>
          </w:p>
        </w:tc>
        <w:tc>
          <w:tcPr>
            <w:tcW w:w="1112" w:type="dxa"/>
            <w:noWrap/>
            <w:hideMark/>
          </w:tcPr>
          <w:p w14:paraId="4133B982" w14:textId="77777777" w:rsidR="005F08B9" w:rsidRPr="002C3A75" w:rsidRDefault="005F08B9" w:rsidP="00A179C0">
            <w:pPr>
              <w:rPr>
                <w:rFonts w:asciiTheme="majorBidi" w:hAnsiTheme="majorBidi" w:cstheme="majorBidi"/>
                <w:sz w:val="16"/>
                <w:szCs w:val="16"/>
              </w:rPr>
            </w:pPr>
            <w:r w:rsidRPr="002C3A75">
              <w:rPr>
                <w:rFonts w:asciiTheme="majorBidi" w:hAnsiTheme="majorBidi" w:cstheme="majorBidi"/>
                <w:sz w:val="16"/>
                <w:szCs w:val="16"/>
              </w:rPr>
              <w:t>2024-11-15</w:t>
            </w:r>
          </w:p>
        </w:tc>
        <w:tc>
          <w:tcPr>
            <w:tcW w:w="973" w:type="dxa"/>
            <w:noWrap/>
            <w:hideMark/>
          </w:tcPr>
          <w:p w14:paraId="78609168" w14:textId="77777777" w:rsidR="005F08B9" w:rsidRPr="002C3A75" w:rsidRDefault="005F08B9" w:rsidP="00A179C0">
            <w:pPr>
              <w:rPr>
                <w:rFonts w:asciiTheme="majorBidi" w:hAnsiTheme="majorBidi" w:cstheme="majorBidi"/>
                <w:sz w:val="16"/>
                <w:szCs w:val="16"/>
              </w:rPr>
            </w:pPr>
            <w:r w:rsidRPr="002C3A75">
              <w:rPr>
                <w:rFonts w:asciiTheme="majorBidi" w:hAnsiTheme="majorBidi" w:cstheme="majorBidi"/>
                <w:sz w:val="16"/>
                <w:szCs w:val="16"/>
              </w:rPr>
              <w:t>43400</w:t>
            </w:r>
          </w:p>
        </w:tc>
        <w:tc>
          <w:tcPr>
            <w:tcW w:w="1027" w:type="dxa"/>
            <w:noWrap/>
            <w:hideMark/>
          </w:tcPr>
          <w:p w14:paraId="2BB7332D" w14:textId="77777777" w:rsidR="005F08B9" w:rsidRPr="002C3A75" w:rsidRDefault="005F08B9" w:rsidP="00A179C0">
            <w:pPr>
              <w:rPr>
                <w:rFonts w:asciiTheme="majorBidi" w:hAnsiTheme="majorBidi" w:cstheme="majorBidi"/>
                <w:sz w:val="16"/>
                <w:szCs w:val="16"/>
              </w:rPr>
            </w:pPr>
            <w:r w:rsidRPr="002C3A75">
              <w:rPr>
                <w:rFonts w:asciiTheme="majorBidi" w:hAnsiTheme="majorBidi" w:cstheme="majorBidi"/>
                <w:sz w:val="16"/>
                <w:szCs w:val="16"/>
              </w:rPr>
              <w:t>2999,72</w:t>
            </w:r>
          </w:p>
        </w:tc>
      </w:tr>
      <w:tr w:rsidR="005F08B9" w:rsidRPr="002C3A75" w14:paraId="4C7BF516" w14:textId="77777777" w:rsidTr="00A179C0">
        <w:trPr>
          <w:trHeight w:val="290"/>
        </w:trPr>
        <w:tc>
          <w:tcPr>
            <w:tcW w:w="988" w:type="dxa"/>
            <w:noWrap/>
            <w:hideMark/>
          </w:tcPr>
          <w:p w14:paraId="7726E9CD" w14:textId="77777777" w:rsidR="005F08B9" w:rsidRPr="002C3A75" w:rsidRDefault="005F08B9" w:rsidP="00A179C0">
            <w:pPr>
              <w:rPr>
                <w:rFonts w:asciiTheme="majorBidi" w:hAnsiTheme="majorBidi" w:cstheme="majorBidi"/>
                <w:sz w:val="16"/>
                <w:szCs w:val="16"/>
              </w:rPr>
            </w:pPr>
            <w:r w:rsidRPr="002C3A75">
              <w:rPr>
                <w:rFonts w:asciiTheme="majorBidi" w:hAnsiTheme="majorBidi" w:cstheme="majorBidi"/>
                <w:sz w:val="16"/>
                <w:szCs w:val="16"/>
              </w:rPr>
              <w:t>22-S1-1258</w:t>
            </w:r>
          </w:p>
        </w:tc>
        <w:tc>
          <w:tcPr>
            <w:tcW w:w="4394" w:type="dxa"/>
            <w:noWrap/>
            <w:hideMark/>
          </w:tcPr>
          <w:p w14:paraId="2AE44FBD" w14:textId="77777777" w:rsidR="005F08B9" w:rsidRPr="002C3A75" w:rsidRDefault="005F08B9" w:rsidP="00A179C0">
            <w:pPr>
              <w:rPr>
                <w:rFonts w:asciiTheme="majorBidi" w:hAnsiTheme="majorBidi" w:cstheme="majorBidi"/>
                <w:sz w:val="16"/>
                <w:szCs w:val="16"/>
              </w:rPr>
            </w:pPr>
            <w:r w:rsidRPr="002C3A75">
              <w:rPr>
                <w:rFonts w:asciiTheme="majorBidi" w:hAnsiTheme="majorBidi" w:cstheme="majorBidi"/>
                <w:sz w:val="16"/>
                <w:szCs w:val="16"/>
              </w:rPr>
              <w:t>Rangos sutartis A. Juozapavičiaus pr. 57, Kaunas, atnaujinimo (modernizavimo ir remonto) statybos darbų pirkimas</w:t>
            </w:r>
          </w:p>
        </w:tc>
        <w:tc>
          <w:tcPr>
            <w:tcW w:w="1134" w:type="dxa"/>
            <w:noWrap/>
            <w:hideMark/>
          </w:tcPr>
          <w:p w14:paraId="13D3DFA7" w14:textId="77777777" w:rsidR="005F08B9" w:rsidRPr="002C3A75" w:rsidRDefault="005F08B9" w:rsidP="00A179C0">
            <w:pPr>
              <w:rPr>
                <w:rFonts w:asciiTheme="majorBidi" w:hAnsiTheme="majorBidi" w:cstheme="majorBidi"/>
                <w:sz w:val="16"/>
                <w:szCs w:val="16"/>
              </w:rPr>
            </w:pPr>
            <w:r w:rsidRPr="002C3A75">
              <w:rPr>
                <w:rFonts w:asciiTheme="majorBidi" w:hAnsiTheme="majorBidi" w:cstheme="majorBidi"/>
                <w:sz w:val="16"/>
                <w:szCs w:val="16"/>
              </w:rPr>
              <w:t>2024-11-20</w:t>
            </w:r>
          </w:p>
        </w:tc>
        <w:tc>
          <w:tcPr>
            <w:tcW w:w="1112" w:type="dxa"/>
            <w:noWrap/>
            <w:hideMark/>
          </w:tcPr>
          <w:p w14:paraId="4237C2EA" w14:textId="77777777" w:rsidR="005F08B9" w:rsidRPr="002C3A75" w:rsidRDefault="005F08B9" w:rsidP="00A179C0">
            <w:pPr>
              <w:rPr>
                <w:rFonts w:asciiTheme="majorBidi" w:hAnsiTheme="majorBidi" w:cstheme="majorBidi"/>
                <w:sz w:val="16"/>
                <w:szCs w:val="16"/>
              </w:rPr>
            </w:pPr>
            <w:r w:rsidRPr="002C3A75">
              <w:rPr>
                <w:rFonts w:asciiTheme="majorBidi" w:hAnsiTheme="majorBidi" w:cstheme="majorBidi"/>
                <w:sz w:val="16"/>
                <w:szCs w:val="16"/>
              </w:rPr>
              <w:t>2024-11-15</w:t>
            </w:r>
          </w:p>
        </w:tc>
        <w:tc>
          <w:tcPr>
            <w:tcW w:w="973" w:type="dxa"/>
            <w:noWrap/>
            <w:hideMark/>
          </w:tcPr>
          <w:p w14:paraId="703D5C27" w14:textId="77777777" w:rsidR="005F08B9" w:rsidRPr="002C3A75" w:rsidRDefault="005F08B9" w:rsidP="00A179C0">
            <w:pPr>
              <w:rPr>
                <w:rFonts w:asciiTheme="majorBidi" w:hAnsiTheme="majorBidi" w:cstheme="majorBidi"/>
                <w:sz w:val="16"/>
                <w:szCs w:val="16"/>
              </w:rPr>
            </w:pPr>
            <w:r w:rsidRPr="002C3A75">
              <w:rPr>
                <w:rFonts w:asciiTheme="majorBidi" w:hAnsiTheme="majorBidi" w:cstheme="majorBidi"/>
                <w:sz w:val="16"/>
                <w:szCs w:val="16"/>
              </w:rPr>
              <w:t>43400</w:t>
            </w:r>
          </w:p>
        </w:tc>
        <w:tc>
          <w:tcPr>
            <w:tcW w:w="1027" w:type="dxa"/>
            <w:noWrap/>
            <w:hideMark/>
          </w:tcPr>
          <w:p w14:paraId="7D053981" w14:textId="77777777" w:rsidR="005F08B9" w:rsidRPr="002C3A75" w:rsidRDefault="005F08B9" w:rsidP="00A179C0">
            <w:pPr>
              <w:rPr>
                <w:rFonts w:asciiTheme="majorBidi" w:hAnsiTheme="majorBidi" w:cstheme="majorBidi"/>
                <w:sz w:val="16"/>
                <w:szCs w:val="16"/>
              </w:rPr>
            </w:pPr>
            <w:r w:rsidRPr="002C3A75">
              <w:rPr>
                <w:rFonts w:asciiTheme="majorBidi" w:hAnsiTheme="majorBidi" w:cstheme="majorBidi"/>
                <w:sz w:val="16"/>
                <w:szCs w:val="16"/>
              </w:rPr>
              <w:t>3730710</w:t>
            </w:r>
          </w:p>
        </w:tc>
      </w:tr>
      <w:tr w:rsidR="005F08B9" w:rsidRPr="002C3A75" w14:paraId="0AA7DD7D" w14:textId="77777777" w:rsidTr="00A179C0">
        <w:trPr>
          <w:trHeight w:val="290"/>
        </w:trPr>
        <w:tc>
          <w:tcPr>
            <w:tcW w:w="988" w:type="dxa"/>
            <w:noWrap/>
            <w:hideMark/>
          </w:tcPr>
          <w:p w14:paraId="4A762422" w14:textId="77777777" w:rsidR="005F08B9" w:rsidRPr="002C3A75" w:rsidRDefault="005F08B9" w:rsidP="00A179C0">
            <w:pPr>
              <w:rPr>
                <w:rFonts w:asciiTheme="majorBidi" w:hAnsiTheme="majorBidi" w:cstheme="majorBidi"/>
                <w:sz w:val="16"/>
                <w:szCs w:val="16"/>
              </w:rPr>
            </w:pPr>
            <w:r w:rsidRPr="002C3A75">
              <w:rPr>
                <w:rFonts w:asciiTheme="majorBidi" w:hAnsiTheme="majorBidi" w:cstheme="majorBidi"/>
                <w:sz w:val="16"/>
                <w:szCs w:val="16"/>
              </w:rPr>
              <w:t>23-S1-307</w:t>
            </w:r>
          </w:p>
        </w:tc>
        <w:tc>
          <w:tcPr>
            <w:tcW w:w="4394" w:type="dxa"/>
            <w:noWrap/>
            <w:hideMark/>
          </w:tcPr>
          <w:p w14:paraId="31550FB5" w14:textId="77777777" w:rsidR="005F08B9" w:rsidRPr="002C3A75" w:rsidRDefault="005F08B9" w:rsidP="00A179C0">
            <w:pPr>
              <w:rPr>
                <w:rFonts w:asciiTheme="majorBidi" w:hAnsiTheme="majorBidi" w:cstheme="majorBidi"/>
                <w:sz w:val="16"/>
                <w:szCs w:val="16"/>
              </w:rPr>
            </w:pPr>
            <w:r w:rsidRPr="002C3A75">
              <w:rPr>
                <w:rFonts w:asciiTheme="majorBidi" w:hAnsiTheme="majorBidi" w:cstheme="majorBidi"/>
                <w:sz w:val="16"/>
                <w:szCs w:val="16"/>
              </w:rPr>
              <w:t>Saulės elektrinių projektavimas ir įrengimas</w:t>
            </w:r>
          </w:p>
        </w:tc>
        <w:tc>
          <w:tcPr>
            <w:tcW w:w="1134" w:type="dxa"/>
            <w:noWrap/>
            <w:hideMark/>
          </w:tcPr>
          <w:p w14:paraId="2748670D" w14:textId="77777777" w:rsidR="005F08B9" w:rsidRPr="002C3A75" w:rsidRDefault="005F08B9" w:rsidP="00A179C0">
            <w:pPr>
              <w:rPr>
                <w:rFonts w:asciiTheme="majorBidi" w:hAnsiTheme="majorBidi" w:cstheme="majorBidi"/>
                <w:sz w:val="16"/>
                <w:szCs w:val="16"/>
              </w:rPr>
            </w:pPr>
            <w:r w:rsidRPr="002C3A75">
              <w:rPr>
                <w:rFonts w:asciiTheme="majorBidi" w:hAnsiTheme="majorBidi" w:cstheme="majorBidi"/>
                <w:sz w:val="16"/>
                <w:szCs w:val="16"/>
              </w:rPr>
              <w:t>2028-12-31</w:t>
            </w:r>
          </w:p>
        </w:tc>
        <w:tc>
          <w:tcPr>
            <w:tcW w:w="1112" w:type="dxa"/>
            <w:noWrap/>
            <w:hideMark/>
          </w:tcPr>
          <w:p w14:paraId="1FA61E77" w14:textId="77777777" w:rsidR="005F08B9" w:rsidRPr="002C3A75" w:rsidRDefault="005F08B9" w:rsidP="00A179C0">
            <w:pPr>
              <w:rPr>
                <w:rFonts w:asciiTheme="majorBidi" w:hAnsiTheme="majorBidi" w:cstheme="majorBidi"/>
                <w:sz w:val="16"/>
                <w:szCs w:val="16"/>
              </w:rPr>
            </w:pPr>
            <w:r w:rsidRPr="002C3A75">
              <w:rPr>
                <w:rFonts w:asciiTheme="majorBidi" w:hAnsiTheme="majorBidi" w:cstheme="majorBidi"/>
                <w:sz w:val="16"/>
                <w:szCs w:val="16"/>
              </w:rPr>
              <w:t>2024-12-02</w:t>
            </w:r>
          </w:p>
        </w:tc>
        <w:tc>
          <w:tcPr>
            <w:tcW w:w="973" w:type="dxa"/>
            <w:noWrap/>
            <w:hideMark/>
          </w:tcPr>
          <w:p w14:paraId="42EB6C4F" w14:textId="77777777" w:rsidR="005F08B9" w:rsidRPr="002C3A75" w:rsidRDefault="005F08B9" w:rsidP="00A179C0">
            <w:pPr>
              <w:rPr>
                <w:rFonts w:asciiTheme="majorBidi" w:hAnsiTheme="majorBidi" w:cstheme="majorBidi"/>
                <w:sz w:val="16"/>
                <w:szCs w:val="16"/>
              </w:rPr>
            </w:pPr>
            <w:r w:rsidRPr="002C3A75">
              <w:rPr>
                <w:rFonts w:asciiTheme="majorBidi" w:hAnsiTheme="majorBidi" w:cstheme="majorBidi"/>
                <w:sz w:val="16"/>
                <w:szCs w:val="16"/>
              </w:rPr>
              <w:t>500000</w:t>
            </w:r>
          </w:p>
        </w:tc>
        <w:tc>
          <w:tcPr>
            <w:tcW w:w="1027" w:type="dxa"/>
            <w:noWrap/>
            <w:hideMark/>
          </w:tcPr>
          <w:p w14:paraId="5CA6EB90" w14:textId="77777777" w:rsidR="005F08B9" w:rsidRPr="002C3A75" w:rsidRDefault="005F08B9" w:rsidP="00A179C0">
            <w:pPr>
              <w:rPr>
                <w:rFonts w:asciiTheme="majorBidi" w:hAnsiTheme="majorBidi" w:cstheme="majorBidi"/>
                <w:sz w:val="16"/>
                <w:szCs w:val="16"/>
              </w:rPr>
            </w:pPr>
            <w:r w:rsidRPr="002C3A75">
              <w:rPr>
                <w:rFonts w:asciiTheme="majorBidi" w:hAnsiTheme="majorBidi" w:cstheme="majorBidi"/>
                <w:sz w:val="16"/>
                <w:szCs w:val="16"/>
              </w:rPr>
              <w:t>80344</w:t>
            </w:r>
          </w:p>
        </w:tc>
      </w:tr>
    </w:tbl>
    <w:p w14:paraId="64E8C6A5" w14:textId="77777777" w:rsidR="005F08B9" w:rsidRDefault="005F08B9" w:rsidP="00873FA0">
      <w:pPr>
        <w:jc w:val="both"/>
        <w:rPr>
          <w:rFonts w:asciiTheme="majorBidi" w:hAnsiTheme="majorBidi" w:cstheme="majorBidi"/>
        </w:rPr>
      </w:pPr>
    </w:p>
    <w:p w14:paraId="511997A9" w14:textId="77777777" w:rsidR="005F08B9" w:rsidRDefault="005F08B9" w:rsidP="002964C8">
      <w:pPr>
        <w:ind w:firstLine="1298"/>
        <w:jc w:val="both"/>
        <w:rPr>
          <w:rFonts w:asciiTheme="majorBidi" w:hAnsiTheme="majorBidi" w:cstheme="majorBidi"/>
        </w:rPr>
      </w:pPr>
      <w:r w:rsidRPr="008F1132">
        <w:rPr>
          <w:rFonts w:asciiTheme="majorBidi" w:hAnsiTheme="majorBidi" w:cstheme="majorBidi"/>
        </w:rPr>
        <w:t>Sutartyse numatyt</w:t>
      </w:r>
      <w:r>
        <w:rPr>
          <w:rFonts w:asciiTheme="majorBidi" w:hAnsiTheme="majorBidi" w:cstheme="majorBidi"/>
        </w:rPr>
        <w:t>ų</w:t>
      </w:r>
      <w:r w:rsidRPr="008F1132">
        <w:rPr>
          <w:rFonts w:asciiTheme="majorBidi" w:hAnsiTheme="majorBidi" w:cstheme="majorBidi"/>
        </w:rPr>
        <w:t xml:space="preserve"> </w:t>
      </w:r>
      <w:r>
        <w:rPr>
          <w:rFonts w:asciiTheme="majorBidi" w:hAnsiTheme="majorBidi" w:cstheme="majorBidi"/>
        </w:rPr>
        <w:t xml:space="preserve">sąlygų pavyzdžiai: </w:t>
      </w:r>
    </w:p>
    <w:p w14:paraId="5DDC0190" w14:textId="77777777" w:rsidR="005F08B9" w:rsidRDefault="005F08B9" w:rsidP="002964C8">
      <w:pPr>
        <w:ind w:firstLine="1298"/>
        <w:jc w:val="both"/>
        <w:rPr>
          <w:rFonts w:asciiTheme="majorBidi" w:hAnsiTheme="majorBidi" w:cstheme="majorBidi"/>
          <w:i/>
          <w:iCs/>
        </w:rPr>
      </w:pPr>
      <w:r>
        <w:rPr>
          <w:rFonts w:asciiTheme="majorBidi" w:hAnsiTheme="majorBidi" w:cstheme="majorBidi"/>
          <w:i/>
          <w:iCs/>
        </w:rPr>
        <w:t>„</w:t>
      </w:r>
      <w:r w:rsidRPr="00B31B64">
        <w:rPr>
          <w:rFonts w:asciiTheme="majorBidi" w:hAnsiTheme="majorBidi" w:cstheme="majorBidi"/>
          <w:i/>
          <w:iCs/>
        </w:rPr>
        <w:t>Tiekėjo civilinė atsakomybė privalo būti apdrausta pagal</w:t>
      </w:r>
      <w:r>
        <w:rPr>
          <w:rFonts w:asciiTheme="majorBidi" w:hAnsiTheme="majorBidi" w:cstheme="majorBidi"/>
          <w:i/>
          <w:iCs/>
        </w:rPr>
        <w:t xml:space="preserve"> </w:t>
      </w:r>
      <w:r w:rsidRPr="00B31B64">
        <w:rPr>
          <w:rFonts w:asciiTheme="majorBidi" w:hAnsiTheme="majorBidi" w:cstheme="majorBidi"/>
          <w:i/>
          <w:iCs/>
        </w:rPr>
        <w:t>Lietuvos Respublikos statybos įstatymo reikalavimus. Užsakovui paprašius, Tiekėjas privalo</w:t>
      </w:r>
      <w:r>
        <w:rPr>
          <w:rFonts w:asciiTheme="majorBidi" w:hAnsiTheme="majorBidi" w:cstheme="majorBidi"/>
          <w:i/>
          <w:iCs/>
        </w:rPr>
        <w:t xml:space="preserve"> </w:t>
      </w:r>
      <w:r w:rsidRPr="00B31B64">
        <w:rPr>
          <w:rFonts w:asciiTheme="majorBidi" w:hAnsiTheme="majorBidi" w:cstheme="majorBidi"/>
          <w:i/>
          <w:iCs/>
        </w:rPr>
        <w:t>pateikti civilinės atsakomybės draudimo faktą įrodančius dokumentus.</w:t>
      </w:r>
      <w:r>
        <w:rPr>
          <w:rFonts w:asciiTheme="majorBidi" w:hAnsiTheme="majorBidi" w:cstheme="majorBidi"/>
          <w:i/>
          <w:iCs/>
        </w:rPr>
        <w:t>“</w:t>
      </w:r>
    </w:p>
    <w:p w14:paraId="5C34E2FA" w14:textId="77777777" w:rsidR="005F08B9" w:rsidRPr="00B31B64" w:rsidRDefault="005F08B9" w:rsidP="002964C8">
      <w:pPr>
        <w:ind w:firstLine="1298"/>
        <w:jc w:val="both"/>
        <w:rPr>
          <w:rFonts w:asciiTheme="majorBidi" w:hAnsiTheme="majorBidi" w:cstheme="majorBidi"/>
          <w:i/>
          <w:iCs/>
        </w:rPr>
      </w:pPr>
      <w:r>
        <w:rPr>
          <w:rFonts w:asciiTheme="majorBidi" w:hAnsiTheme="majorBidi" w:cstheme="majorBidi"/>
          <w:i/>
          <w:iCs/>
        </w:rPr>
        <w:t>„</w:t>
      </w:r>
      <w:r w:rsidRPr="008B5927">
        <w:rPr>
          <w:rFonts w:asciiTheme="majorBidi" w:hAnsiTheme="majorBidi" w:cstheme="majorBidi"/>
          <w:i/>
          <w:iCs/>
        </w:rPr>
        <w:t>Paslaugų teikimo pradžios UŽSAKOVUI pateikti civilinės atsakomybės draudimo faktą įrodančius dokumentus (kai privalomas pagal teisės aktus),</w:t>
      </w:r>
      <w:r>
        <w:rPr>
          <w:rFonts w:asciiTheme="majorBidi" w:hAnsiTheme="majorBidi" w:cstheme="majorBidi"/>
          <w:i/>
          <w:iCs/>
        </w:rPr>
        <w:t xml:space="preserve"> </w:t>
      </w:r>
      <w:r w:rsidRPr="008B5927">
        <w:rPr>
          <w:rFonts w:asciiTheme="majorBidi" w:hAnsiTheme="majorBidi" w:cstheme="majorBidi"/>
          <w:i/>
          <w:iCs/>
        </w:rPr>
        <w:t>kurie turi galioti visą Pirkimo sutarties teikimo laikotarpį. Šio Pirkimo sutarties punkto nesilaikymas, kai UŽSAKOVAS</w:t>
      </w:r>
      <w:r>
        <w:rPr>
          <w:rFonts w:asciiTheme="majorBidi" w:hAnsiTheme="majorBidi" w:cstheme="majorBidi"/>
          <w:i/>
          <w:iCs/>
        </w:rPr>
        <w:t xml:space="preserve"> </w:t>
      </w:r>
      <w:r w:rsidRPr="008B5927">
        <w:rPr>
          <w:rFonts w:asciiTheme="majorBidi" w:hAnsiTheme="majorBidi" w:cstheme="majorBidi"/>
          <w:i/>
          <w:iCs/>
        </w:rPr>
        <w:t>pakartotinai kreipiasi į TIEKĖJĄ dėl</w:t>
      </w:r>
      <w:r>
        <w:rPr>
          <w:rFonts w:asciiTheme="majorBidi" w:hAnsiTheme="majorBidi" w:cstheme="majorBidi"/>
          <w:i/>
          <w:iCs/>
        </w:rPr>
        <w:t xml:space="preserve"> </w:t>
      </w:r>
      <w:r w:rsidRPr="008B5927">
        <w:rPr>
          <w:rFonts w:asciiTheme="majorBidi" w:hAnsiTheme="majorBidi" w:cstheme="majorBidi"/>
          <w:i/>
          <w:iCs/>
        </w:rPr>
        <w:t>pateikimo, bus laikomas esminiu Pirkimo sutarties pažeidimu;</w:t>
      </w:r>
      <w:r>
        <w:rPr>
          <w:rFonts w:asciiTheme="majorBidi" w:hAnsiTheme="majorBidi" w:cstheme="majorBidi"/>
          <w:i/>
          <w:iCs/>
        </w:rPr>
        <w:t>"</w:t>
      </w:r>
    </w:p>
    <w:p w14:paraId="73F47FB6" w14:textId="77777777" w:rsidR="005F08B9" w:rsidRPr="008F1132" w:rsidRDefault="005F08B9" w:rsidP="00873FA0">
      <w:pPr>
        <w:rPr>
          <w:rFonts w:asciiTheme="majorBidi" w:hAnsiTheme="majorBidi" w:cstheme="majorBidi"/>
        </w:rPr>
      </w:pPr>
    </w:p>
    <w:p w14:paraId="05D462BB" w14:textId="77777777" w:rsidR="005F08B9" w:rsidRPr="00015417" w:rsidRDefault="005F08B9" w:rsidP="00873FA0">
      <w:pPr>
        <w:jc w:val="both"/>
        <w:rPr>
          <w:color w:val="000000"/>
          <w:lang w:eastAsia="lt-LT"/>
        </w:rPr>
      </w:pPr>
      <w:r>
        <w:rPr>
          <w:color w:val="000000"/>
          <w:lang w:eastAsia="lt-LT"/>
        </w:rPr>
        <w:t>Lentelė Nr.4 Sutartyse pasibaigusių ar besibaigiančių SUD ataskaitos išrašas :</w:t>
      </w:r>
    </w:p>
    <w:tbl>
      <w:tblPr>
        <w:tblStyle w:val="Lentelstinklelis"/>
        <w:tblW w:w="0" w:type="auto"/>
        <w:tblLook w:val="04A0" w:firstRow="1" w:lastRow="0" w:firstColumn="1" w:lastColumn="0" w:noHBand="0" w:noVBand="1"/>
      </w:tblPr>
      <w:tblGrid>
        <w:gridCol w:w="986"/>
        <w:gridCol w:w="4396"/>
        <w:gridCol w:w="1134"/>
        <w:gridCol w:w="1134"/>
        <w:gridCol w:w="850"/>
        <w:gridCol w:w="1128"/>
      </w:tblGrid>
      <w:tr w:rsidR="005F08B9" w:rsidRPr="00F82A93" w14:paraId="41A3B753" w14:textId="77777777" w:rsidTr="00A179C0">
        <w:trPr>
          <w:trHeight w:val="619"/>
        </w:trPr>
        <w:tc>
          <w:tcPr>
            <w:tcW w:w="986" w:type="dxa"/>
            <w:hideMark/>
          </w:tcPr>
          <w:p w14:paraId="3FDC4BEB" w14:textId="77777777" w:rsidR="005F08B9" w:rsidRPr="00F82A93" w:rsidRDefault="005F08B9" w:rsidP="00A179C0">
            <w:pPr>
              <w:rPr>
                <w:rFonts w:asciiTheme="majorBidi" w:hAnsiTheme="majorBidi" w:cstheme="majorBidi"/>
                <w:b/>
                <w:bCs/>
                <w:sz w:val="16"/>
                <w:szCs w:val="16"/>
              </w:rPr>
            </w:pPr>
            <w:r w:rsidRPr="00F82A93">
              <w:rPr>
                <w:rFonts w:asciiTheme="majorBidi" w:hAnsiTheme="majorBidi" w:cstheme="majorBidi"/>
                <w:b/>
                <w:bCs/>
                <w:sz w:val="16"/>
                <w:szCs w:val="16"/>
              </w:rPr>
              <w:t>Sutartis</w:t>
            </w:r>
          </w:p>
        </w:tc>
        <w:tc>
          <w:tcPr>
            <w:tcW w:w="4396" w:type="dxa"/>
            <w:hideMark/>
          </w:tcPr>
          <w:p w14:paraId="015941C1" w14:textId="77777777" w:rsidR="005F08B9" w:rsidRPr="00F82A93" w:rsidRDefault="005F08B9" w:rsidP="00A179C0">
            <w:pPr>
              <w:rPr>
                <w:rFonts w:asciiTheme="majorBidi" w:hAnsiTheme="majorBidi" w:cstheme="majorBidi"/>
                <w:b/>
                <w:bCs/>
                <w:sz w:val="16"/>
                <w:szCs w:val="16"/>
              </w:rPr>
            </w:pPr>
            <w:r w:rsidRPr="00F82A93">
              <w:rPr>
                <w:rFonts w:asciiTheme="majorBidi" w:hAnsiTheme="majorBidi" w:cstheme="majorBidi"/>
                <w:b/>
                <w:bCs/>
                <w:sz w:val="16"/>
                <w:szCs w:val="16"/>
              </w:rPr>
              <w:t>Pavadinimas</w:t>
            </w:r>
          </w:p>
        </w:tc>
        <w:tc>
          <w:tcPr>
            <w:tcW w:w="1134" w:type="dxa"/>
            <w:hideMark/>
          </w:tcPr>
          <w:p w14:paraId="583C323F" w14:textId="77777777" w:rsidR="005F08B9" w:rsidRPr="00F82A93" w:rsidRDefault="005F08B9" w:rsidP="00A179C0">
            <w:pPr>
              <w:rPr>
                <w:rFonts w:asciiTheme="majorBidi" w:hAnsiTheme="majorBidi" w:cstheme="majorBidi"/>
                <w:b/>
                <w:bCs/>
                <w:sz w:val="16"/>
                <w:szCs w:val="16"/>
              </w:rPr>
            </w:pPr>
            <w:r>
              <w:rPr>
                <w:rFonts w:asciiTheme="majorBidi" w:hAnsiTheme="majorBidi" w:cstheme="majorBidi"/>
                <w:b/>
                <w:bCs/>
                <w:sz w:val="16"/>
                <w:szCs w:val="16"/>
              </w:rPr>
              <w:t>Sutarties p</w:t>
            </w:r>
            <w:r w:rsidRPr="00F82A93">
              <w:rPr>
                <w:rFonts w:asciiTheme="majorBidi" w:hAnsiTheme="majorBidi" w:cstheme="majorBidi"/>
                <w:b/>
                <w:bCs/>
                <w:sz w:val="16"/>
                <w:szCs w:val="16"/>
              </w:rPr>
              <w:t>abaigos data</w:t>
            </w:r>
          </w:p>
        </w:tc>
        <w:tc>
          <w:tcPr>
            <w:tcW w:w="1134" w:type="dxa"/>
            <w:hideMark/>
          </w:tcPr>
          <w:p w14:paraId="18609061" w14:textId="77777777" w:rsidR="005F08B9" w:rsidRPr="00F82A93" w:rsidRDefault="005F08B9" w:rsidP="00A179C0">
            <w:pPr>
              <w:rPr>
                <w:rFonts w:asciiTheme="majorBidi" w:hAnsiTheme="majorBidi" w:cstheme="majorBidi"/>
                <w:b/>
                <w:bCs/>
                <w:sz w:val="16"/>
                <w:szCs w:val="16"/>
              </w:rPr>
            </w:pPr>
            <w:r w:rsidRPr="00F82A93">
              <w:rPr>
                <w:rFonts w:asciiTheme="majorBidi" w:hAnsiTheme="majorBidi" w:cstheme="majorBidi"/>
                <w:b/>
                <w:bCs/>
                <w:sz w:val="16"/>
                <w:szCs w:val="16"/>
              </w:rPr>
              <w:t>SUD pabaigos data</w:t>
            </w:r>
          </w:p>
        </w:tc>
        <w:tc>
          <w:tcPr>
            <w:tcW w:w="850" w:type="dxa"/>
            <w:hideMark/>
          </w:tcPr>
          <w:p w14:paraId="4B8F90FC" w14:textId="77777777" w:rsidR="005F08B9" w:rsidRPr="00F82A93" w:rsidRDefault="005F08B9" w:rsidP="00A179C0">
            <w:pPr>
              <w:rPr>
                <w:rFonts w:asciiTheme="majorBidi" w:hAnsiTheme="majorBidi" w:cstheme="majorBidi"/>
                <w:b/>
                <w:bCs/>
                <w:sz w:val="16"/>
                <w:szCs w:val="16"/>
              </w:rPr>
            </w:pPr>
            <w:r w:rsidRPr="00F82A93">
              <w:rPr>
                <w:rFonts w:asciiTheme="majorBidi" w:hAnsiTheme="majorBidi" w:cstheme="majorBidi"/>
                <w:b/>
                <w:bCs/>
                <w:sz w:val="16"/>
                <w:szCs w:val="16"/>
              </w:rPr>
              <w:t>SUD suma</w:t>
            </w:r>
          </w:p>
        </w:tc>
        <w:tc>
          <w:tcPr>
            <w:tcW w:w="1128" w:type="dxa"/>
            <w:hideMark/>
          </w:tcPr>
          <w:p w14:paraId="5DB9F2C7" w14:textId="77777777" w:rsidR="005F08B9" w:rsidRPr="00F82A93" w:rsidRDefault="005F08B9" w:rsidP="00A179C0">
            <w:pPr>
              <w:rPr>
                <w:rFonts w:asciiTheme="majorBidi" w:hAnsiTheme="majorBidi" w:cstheme="majorBidi"/>
                <w:b/>
                <w:bCs/>
                <w:sz w:val="16"/>
                <w:szCs w:val="16"/>
              </w:rPr>
            </w:pPr>
            <w:r w:rsidRPr="00F82A93">
              <w:rPr>
                <w:rFonts w:asciiTheme="majorBidi" w:hAnsiTheme="majorBidi" w:cstheme="majorBidi"/>
                <w:b/>
                <w:bCs/>
                <w:sz w:val="16"/>
                <w:szCs w:val="16"/>
              </w:rPr>
              <w:t>Sutarties vertė su PVM</w:t>
            </w:r>
          </w:p>
        </w:tc>
      </w:tr>
      <w:tr w:rsidR="005F08B9" w:rsidRPr="00F82A93" w14:paraId="7B5D0CE8" w14:textId="77777777" w:rsidTr="00A179C0">
        <w:trPr>
          <w:trHeight w:val="290"/>
        </w:trPr>
        <w:tc>
          <w:tcPr>
            <w:tcW w:w="986" w:type="dxa"/>
            <w:noWrap/>
            <w:hideMark/>
          </w:tcPr>
          <w:p w14:paraId="40BCCEBB" w14:textId="77777777" w:rsidR="005F08B9" w:rsidRPr="00F82A93" w:rsidRDefault="005F08B9" w:rsidP="00A179C0">
            <w:pPr>
              <w:rPr>
                <w:rFonts w:asciiTheme="majorBidi" w:hAnsiTheme="majorBidi" w:cstheme="majorBidi"/>
                <w:sz w:val="16"/>
                <w:szCs w:val="16"/>
              </w:rPr>
            </w:pPr>
            <w:r w:rsidRPr="00F82A93">
              <w:rPr>
                <w:rFonts w:asciiTheme="majorBidi" w:hAnsiTheme="majorBidi" w:cstheme="majorBidi"/>
                <w:sz w:val="16"/>
                <w:szCs w:val="16"/>
              </w:rPr>
              <w:t>21-S1-539</w:t>
            </w:r>
          </w:p>
        </w:tc>
        <w:tc>
          <w:tcPr>
            <w:tcW w:w="4396" w:type="dxa"/>
            <w:noWrap/>
            <w:hideMark/>
          </w:tcPr>
          <w:p w14:paraId="2653C523" w14:textId="77777777" w:rsidR="005F08B9" w:rsidRPr="00F82A93" w:rsidRDefault="005F08B9" w:rsidP="00A179C0">
            <w:pPr>
              <w:rPr>
                <w:rFonts w:asciiTheme="majorBidi" w:hAnsiTheme="majorBidi" w:cstheme="majorBidi"/>
                <w:sz w:val="16"/>
                <w:szCs w:val="16"/>
              </w:rPr>
            </w:pPr>
            <w:r w:rsidRPr="00F82A93">
              <w:rPr>
                <w:rFonts w:asciiTheme="majorBidi" w:hAnsiTheme="majorBidi" w:cstheme="majorBidi"/>
                <w:sz w:val="16"/>
                <w:szCs w:val="16"/>
              </w:rPr>
              <w:t>VP-103 Administracinio pastato (A. Juozapavičiaus pr. 57, Kaunas) techninio darbo projekto parengimo ir projekto vykdymo priežiūros paslaugos</w:t>
            </w:r>
          </w:p>
        </w:tc>
        <w:tc>
          <w:tcPr>
            <w:tcW w:w="1134" w:type="dxa"/>
            <w:noWrap/>
            <w:hideMark/>
          </w:tcPr>
          <w:p w14:paraId="76BE8416" w14:textId="77777777" w:rsidR="005F08B9" w:rsidRPr="00F82A93" w:rsidRDefault="005F08B9" w:rsidP="00A179C0">
            <w:pPr>
              <w:rPr>
                <w:rFonts w:asciiTheme="majorBidi" w:hAnsiTheme="majorBidi" w:cstheme="majorBidi"/>
                <w:sz w:val="16"/>
                <w:szCs w:val="16"/>
              </w:rPr>
            </w:pPr>
            <w:r w:rsidRPr="00F82A93">
              <w:rPr>
                <w:rFonts w:asciiTheme="majorBidi" w:hAnsiTheme="majorBidi" w:cstheme="majorBidi"/>
                <w:sz w:val="16"/>
                <w:szCs w:val="16"/>
              </w:rPr>
              <w:t>2024-04-02</w:t>
            </w:r>
          </w:p>
        </w:tc>
        <w:tc>
          <w:tcPr>
            <w:tcW w:w="1134" w:type="dxa"/>
            <w:noWrap/>
            <w:hideMark/>
          </w:tcPr>
          <w:p w14:paraId="05DE3EED" w14:textId="77777777" w:rsidR="005F08B9" w:rsidRPr="002964C8" w:rsidRDefault="005F08B9" w:rsidP="00A179C0">
            <w:pPr>
              <w:rPr>
                <w:rFonts w:asciiTheme="majorBidi" w:hAnsiTheme="majorBidi" w:cstheme="majorBidi"/>
                <w:sz w:val="16"/>
                <w:szCs w:val="16"/>
              </w:rPr>
            </w:pPr>
            <w:r w:rsidRPr="002964C8">
              <w:rPr>
                <w:rFonts w:asciiTheme="majorBidi" w:hAnsiTheme="majorBidi" w:cstheme="majorBidi"/>
                <w:sz w:val="16"/>
                <w:szCs w:val="16"/>
              </w:rPr>
              <w:t>2022-04-01</w:t>
            </w:r>
          </w:p>
        </w:tc>
        <w:tc>
          <w:tcPr>
            <w:tcW w:w="850" w:type="dxa"/>
            <w:noWrap/>
            <w:hideMark/>
          </w:tcPr>
          <w:p w14:paraId="3A20B22F" w14:textId="77777777" w:rsidR="005F08B9" w:rsidRPr="00F82A93" w:rsidRDefault="005F08B9" w:rsidP="00A179C0">
            <w:pPr>
              <w:rPr>
                <w:rFonts w:asciiTheme="majorBidi" w:hAnsiTheme="majorBidi" w:cstheme="majorBidi"/>
                <w:sz w:val="16"/>
                <w:szCs w:val="16"/>
              </w:rPr>
            </w:pPr>
            <w:r w:rsidRPr="00F82A93">
              <w:rPr>
                <w:rFonts w:asciiTheme="majorBidi" w:hAnsiTheme="majorBidi" w:cstheme="majorBidi"/>
                <w:sz w:val="16"/>
                <w:szCs w:val="16"/>
              </w:rPr>
              <w:t>9948,9</w:t>
            </w:r>
          </w:p>
        </w:tc>
        <w:tc>
          <w:tcPr>
            <w:tcW w:w="1128" w:type="dxa"/>
            <w:noWrap/>
            <w:hideMark/>
          </w:tcPr>
          <w:p w14:paraId="136095BC" w14:textId="77777777" w:rsidR="005F08B9" w:rsidRPr="00F82A93" w:rsidRDefault="005F08B9" w:rsidP="00A179C0">
            <w:pPr>
              <w:rPr>
                <w:rFonts w:asciiTheme="majorBidi" w:hAnsiTheme="majorBidi" w:cstheme="majorBidi"/>
                <w:sz w:val="16"/>
                <w:szCs w:val="16"/>
              </w:rPr>
            </w:pPr>
            <w:r w:rsidRPr="00F82A93">
              <w:rPr>
                <w:rFonts w:asciiTheme="majorBidi" w:hAnsiTheme="majorBidi" w:cstheme="majorBidi"/>
                <w:sz w:val="16"/>
                <w:szCs w:val="16"/>
              </w:rPr>
              <w:t>109701,1</w:t>
            </w:r>
          </w:p>
        </w:tc>
      </w:tr>
      <w:tr w:rsidR="005F08B9" w:rsidRPr="00F82A93" w14:paraId="44B9D2E7" w14:textId="77777777" w:rsidTr="00A179C0">
        <w:trPr>
          <w:trHeight w:val="290"/>
        </w:trPr>
        <w:tc>
          <w:tcPr>
            <w:tcW w:w="986" w:type="dxa"/>
            <w:noWrap/>
            <w:hideMark/>
          </w:tcPr>
          <w:p w14:paraId="3BC528A7" w14:textId="77777777" w:rsidR="005F08B9" w:rsidRPr="00F82A93" w:rsidRDefault="005F08B9" w:rsidP="00A179C0">
            <w:pPr>
              <w:rPr>
                <w:rFonts w:asciiTheme="majorBidi" w:hAnsiTheme="majorBidi" w:cstheme="majorBidi"/>
                <w:sz w:val="16"/>
                <w:szCs w:val="16"/>
              </w:rPr>
            </w:pPr>
            <w:r w:rsidRPr="00F82A93">
              <w:rPr>
                <w:rFonts w:asciiTheme="majorBidi" w:hAnsiTheme="majorBidi" w:cstheme="majorBidi"/>
                <w:sz w:val="16"/>
                <w:szCs w:val="16"/>
              </w:rPr>
              <w:t>21-S1-1886</w:t>
            </w:r>
          </w:p>
        </w:tc>
        <w:tc>
          <w:tcPr>
            <w:tcW w:w="4396" w:type="dxa"/>
            <w:noWrap/>
            <w:hideMark/>
          </w:tcPr>
          <w:p w14:paraId="15B558A0" w14:textId="77777777" w:rsidR="005F08B9" w:rsidRPr="00F82A93" w:rsidRDefault="005F08B9" w:rsidP="00A179C0">
            <w:pPr>
              <w:rPr>
                <w:rFonts w:asciiTheme="majorBidi" w:hAnsiTheme="majorBidi" w:cstheme="majorBidi"/>
                <w:sz w:val="16"/>
                <w:szCs w:val="16"/>
              </w:rPr>
            </w:pPr>
            <w:r w:rsidRPr="00F82A93">
              <w:rPr>
                <w:rFonts w:asciiTheme="majorBidi" w:hAnsiTheme="majorBidi" w:cstheme="majorBidi"/>
                <w:sz w:val="16"/>
                <w:szCs w:val="16"/>
              </w:rPr>
              <w:t>Administracinės paskirties pastato Sietyno g. 24, Vilniuje, naujos statybos rangos darbų sutartis</w:t>
            </w:r>
          </w:p>
        </w:tc>
        <w:tc>
          <w:tcPr>
            <w:tcW w:w="1134" w:type="dxa"/>
            <w:noWrap/>
            <w:hideMark/>
          </w:tcPr>
          <w:p w14:paraId="6915B050" w14:textId="77777777" w:rsidR="005F08B9" w:rsidRPr="00F82A93" w:rsidRDefault="005F08B9" w:rsidP="00A179C0">
            <w:pPr>
              <w:rPr>
                <w:rFonts w:asciiTheme="majorBidi" w:hAnsiTheme="majorBidi" w:cstheme="majorBidi"/>
                <w:sz w:val="16"/>
                <w:szCs w:val="16"/>
              </w:rPr>
            </w:pPr>
            <w:r w:rsidRPr="00F82A93">
              <w:rPr>
                <w:rFonts w:asciiTheme="majorBidi" w:hAnsiTheme="majorBidi" w:cstheme="majorBidi"/>
                <w:sz w:val="16"/>
                <w:szCs w:val="16"/>
              </w:rPr>
              <w:t>2023-12-19</w:t>
            </w:r>
          </w:p>
        </w:tc>
        <w:tc>
          <w:tcPr>
            <w:tcW w:w="1134" w:type="dxa"/>
            <w:noWrap/>
            <w:hideMark/>
          </w:tcPr>
          <w:p w14:paraId="0019E421" w14:textId="77777777" w:rsidR="005F08B9" w:rsidRPr="002964C8" w:rsidRDefault="005F08B9" w:rsidP="00A179C0">
            <w:pPr>
              <w:rPr>
                <w:rFonts w:asciiTheme="majorBidi" w:hAnsiTheme="majorBidi" w:cstheme="majorBidi"/>
                <w:sz w:val="16"/>
                <w:szCs w:val="16"/>
              </w:rPr>
            </w:pPr>
            <w:r w:rsidRPr="002964C8">
              <w:rPr>
                <w:rFonts w:asciiTheme="majorBidi" w:hAnsiTheme="majorBidi" w:cstheme="majorBidi"/>
                <w:sz w:val="16"/>
                <w:szCs w:val="16"/>
              </w:rPr>
              <w:t>2024-01-21</w:t>
            </w:r>
          </w:p>
        </w:tc>
        <w:tc>
          <w:tcPr>
            <w:tcW w:w="850" w:type="dxa"/>
            <w:noWrap/>
            <w:hideMark/>
          </w:tcPr>
          <w:p w14:paraId="7C516B26" w14:textId="77777777" w:rsidR="005F08B9" w:rsidRPr="00F82A93" w:rsidRDefault="005F08B9" w:rsidP="00A179C0">
            <w:pPr>
              <w:rPr>
                <w:rFonts w:asciiTheme="majorBidi" w:hAnsiTheme="majorBidi" w:cstheme="majorBidi"/>
                <w:sz w:val="16"/>
                <w:szCs w:val="16"/>
              </w:rPr>
            </w:pPr>
            <w:r w:rsidRPr="00F82A93">
              <w:rPr>
                <w:rFonts w:asciiTheme="majorBidi" w:hAnsiTheme="majorBidi" w:cstheme="majorBidi"/>
                <w:sz w:val="16"/>
                <w:szCs w:val="16"/>
              </w:rPr>
              <w:t>665212,2</w:t>
            </w:r>
          </w:p>
        </w:tc>
        <w:tc>
          <w:tcPr>
            <w:tcW w:w="1128" w:type="dxa"/>
            <w:noWrap/>
            <w:hideMark/>
          </w:tcPr>
          <w:p w14:paraId="5A88949B" w14:textId="77777777" w:rsidR="005F08B9" w:rsidRPr="00F82A93" w:rsidRDefault="005F08B9" w:rsidP="00A179C0">
            <w:pPr>
              <w:rPr>
                <w:rFonts w:asciiTheme="majorBidi" w:hAnsiTheme="majorBidi" w:cstheme="majorBidi"/>
                <w:sz w:val="16"/>
                <w:szCs w:val="16"/>
              </w:rPr>
            </w:pPr>
            <w:r w:rsidRPr="00F82A93">
              <w:rPr>
                <w:rFonts w:asciiTheme="majorBidi" w:hAnsiTheme="majorBidi" w:cstheme="majorBidi"/>
                <w:sz w:val="16"/>
                <w:szCs w:val="16"/>
              </w:rPr>
              <w:t>16977450</w:t>
            </w:r>
          </w:p>
        </w:tc>
      </w:tr>
      <w:tr w:rsidR="005F08B9" w:rsidRPr="00F82A93" w14:paraId="799959E7" w14:textId="77777777" w:rsidTr="00A179C0">
        <w:trPr>
          <w:trHeight w:val="290"/>
        </w:trPr>
        <w:tc>
          <w:tcPr>
            <w:tcW w:w="986" w:type="dxa"/>
            <w:noWrap/>
            <w:hideMark/>
          </w:tcPr>
          <w:p w14:paraId="27DCC488" w14:textId="77777777" w:rsidR="005F08B9" w:rsidRPr="00F82A93" w:rsidRDefault="005F08B9" w:rsidP="00A179C0">
            <w:pPr>
              <w:rPr>
                <w:rFonts w:asciiTheme="majorBidi" w:hAnsiTheme="majorBidi" w:cstheme="majorBidi"/>
                <w:sz w:val="16"/>
                <w:szCs w:val="16"/>
              </w:rPr>
            </w:pPr>
            <w:r w:rsidRPr="00F82A93">
              <w:rPr>
                <w:rFonts w:asciiTheme="majorBidi" w:hAnsiTheme="majorBidi" w:cstheme="majorBidi"/>
                <w:sz w:val="16"/>
                <w:szCs w:val="16"/>
              </w:rPr>
              <w:t>21-S1-45</w:t>
            </w:r>
          </w:p>
        </w:tc>
        <w:tc>
          <w:tcPr>
            <w:tcW w:w="4396" w:type="dxa"/>
            <w:noWrap/>
            <w:hideMark/>
          </w:tcPr>
          <w:p w14:paraId="5B6C5C5D" w14:textId="77777777" w:rsidR="005F08B9" w:rsidRPr="00F82A93" w:rsidRDefault="005F08B9" w:rsidP="00A179C0">
            <w:pPr>
              <w:rPr>
                <w:rFonts w:asciiTheme="majorBidi" w:hAnsiTheme="majorBidi" w:cstheme="majorBidi"/>
                <w:sz w:val="16"/>
                <w:szCs w:val="16"/>
              </w:rPr>
            </w:pPr>
            <w:r w:rsidRPr="00F82A93">
              <w:rPr>
                <w:rFonts w:asciiTheme="majorBidi" w:hAnsiTheme="majorBidi" w:cstheme="majorBidi"/>
                <w:sz w:val="16"/>
                <w:szCs w:val="16"/>
              </w:rPr>
              <w:t>Projektavimo paslaugų pirkimas J. Jablonskio g.30, Anykščiai</w:t>
            </w:r>
          </w:p>
        </w:tc>
        <w:tc>
          <w:tcPr>
            <w:tcW w:w="1134" w:type="dxa"/>
            <w:noWrap/>
            <w:hideMark/>
          </w:tcPr>
          <w:p w14:paraId="67203626" w14:textId="77777777" w:rsidR="005F08B9" w:rsidRPr="00F82A93" w:rsidRDefault="005F08B9" w:rsidP="00A179C0">
            <w:pPr>
              <w:rPr>
                <w:rFonts w:asciiTheme="majorBidi" w:hAnsiTheme="majorBidi" w:cstheme="majorBidi"/>
                <w:sz w:val="16"/>
                <w:szCs w:val="16"/>
              </w:rPr>
            </w:pPr>
            <w:r w:rsidRPr="00F82A93">
              <w:rPr>
                <w:rFonts w:asciiTheme="majorBidi" w:hAnsiTheme="majorBidi" w:cstheme="majorBidi"/>
                <w:sz w:val="16"/>
                <w:szCs w:val="16"/>
              </w:rPr>
              <w:t>2024-01-12</w:t>
            </w:r>
          </w:p>
        </w:tc>
        <w:tc>
          <w:tcPr>
            <w:tcW w:w="1134" w:type="dxa"/>
            <w:noWrap/>
            <w:hideMark/>
          </w:tcPr>
          <w:p w14:paraId="59CA2BE4" w14:textId="77777777" w:rsidR="005F08B9" w:rsidRPr="002964C8" w:rsidRDefault="005F08B9" w:rsidP="00A179C0">
            <w:pPr>
              <w:rPr>
                <w:rFonts w:asciiTheme="majorBidi" w:hAnsiTheme="majorBidi" w:cstheme="majorBidi"/>
                <w:sz w:val="16"/>
                <w:szCs w:val="16"/>
              </w:rPr>
            </w:pPr>
            <w:r w:rsidRPr="002964C8">
              <w:rPr>
                <w:rFonts w:asciiTheme="majorBidi" w:hAnsiTheme="majorBidi" w:cstheme="majorBidi"/>
                <w:sz w:val="16"/>
                <w:szCs w:val="16"/>
              </w:rPr>
              <w:t>2024-02-02</w:t>
            </w:r>
          </w:p>
        </w:tc>
        <w:tc>
          <w:tcPr>
            <w:tcW w:w="850" w:type="dxa"/>
            <w:noWrap/>
            <w:hideMark/>
          </w:tcPr>
          <w:p w14:paraId="3C02ACBC" w14:textId="77777777" w:rsidR="005F08B9" w:rsidRPr="00F82A93" w:rsidRDefault="005F08B9" w:rsidP="00A179C0">
            <w:pPr>
              <w:rPr>
                <w:rFonts w:asciiTheme="majorBidi" w:hAnsiTheme="majorBidi" w:cstheme="majorBidi"/>
                <w:sz w:val="16"/>
                <w:szCs w:val="16"/>
              </w:rPr>
            </w:pPr>
            <w:r w:rsidRPr="00F82A93">
              <w:rPr>
                <w:rFonts w:asciiTheme="majorBidi" w:hAnsiTheme="majorBidi" w:cstheme="majorBidi"/>
                <w:sz w:val="16"/>
                <w:szCs w:val="16"/>
              </w:rPr>
              <w:t>2988,2</w:t>
            </w:r>
          </w:p>
        </w:tc>
        <w:tc>
          <w:tcPr>
            <w:tcW w:w="1128" w:type="dxa"/>
            <w:noWrap/>
            <w:hideMark/>
          </w:tcPr>
          <w:p w14:paraId="4DA97925" w14:textId="77777777" w:rsidR="005F08B9" w:rsidRPr="00F82A93" w:rsidRDefault="005F08B9" w:rsidP="00A179C0">
            <w:pPr>
              <w:rPr>
                <w:rFonts w:asciiTheme="majorBidi" w:hAnsiTheme="majorBidi" w:cstheme="majorBidi"/>
                <w:sz w:val="16"/>
                <w:szCs w:val="16"/>
              </w:rPr>
            </w:pPr>
            <w:r w:rsidRPr="00F82A93">
              <w:rPr>
                <w:rFonts w:asciiTheme="majorBidi" w:hAnsiTheme="majorBidi" w:cstheme="majorBidi"/>
                <w:sz w:val="16"/>
                <w:szCs w:val="16"/>
              </w:rPr>
              <w:t>35428,8</w:t>
            </w:r>
          </w:p>
        </w:tc>
      </w:tr>
      <w:tr w:rsidR="005F08B9" w:rsidRPr="00F82A93" w14:paraId="2378AF9B" w14:textId="77777777" w:rsidTr="00A179C0">
        <w:trPr>
          <w:trHeight w:val="290"/>
        </w:trPr>
        <w:tc>
          <w:tcPr>
            <w:tcW w:w="986" w:type="dxa"/>
            <w:noWrap/>
            <w:hideMark/>
          </w:tcPr>
          <w:p w14:paraId="0B1AEE7A" w14:textId="77777777" w:rsidR="005F08B9" w:rsidRPr="00F82A93" w:rsidRDefault="005F08B9" w:rsidP="00A179C0">
            <w:pPr>
              <w:rPr>
                <w:rFonts w:asciiTheme="majorBidi" w:hAnsiTheme="majorBidi" w:cstheme="majorBidi"/>
                <w:sz w:val="16"/>
                <w:szCs w:val="16"/>
              </w:rPr>
            </w:pPr>
            <w:r w:rsidRPr="00F82A93">
              <w:rPr>
                <w:rFonts w:asciiTheme="majorBidi" w:hAnsiTheme="majorBidi" w:cstheme="majorBidi"/>
                <w:sz w:val="16"/>
                <w:szCs w:val="16"/>
              </w:rPr>
              <w:t>22-S1-411</w:t>
            </w:r>
          </w:p>
        </w:tc>
        <w:tc>
          <w:tcPr>
            <w:tcW w:w="4396" w:type="dxa"/>
            <w:noWrap/>
            <w:hideMark/>
          </w:tcPr>
          <w:p w14:paraId="233B8607" w14:textId="77777777" w:rsidR="005F08B9" w:rsidRPr="00F82A93" w:rsidRDefault="005F08B9" w:rsidP="00A179C0">
            <w:pPr>
              <w:rPr>
                <w:rFonts w:asciiTheme="majorBidi" w:hAnsiTheme="majorBidi" w:cstheme="majorBidi"/>
                <w:sz w:val="16"/>
                <w:szCs w:val="16"/>
              </w:rPr>
            </w:pPr>
            <w:r w:rsidRPr="00F82A93">
              <w:rPr>
                <w:rFonts w:asciiTheme="majorBidi" w:hAnsiTheme="majorBidi" w:cstheme="majorBidi"/>
                <w:sz w:val="16"/>
                <w:szCs w:val="16"/>
              </w:rPr>
              <w:t>Sutartis_VP-143 Administracinės paskirties pastato Ežero g. 17, Šiauliuose paprastojo remonto projektavimo ir projekto vykdymo paslaugos, CPO202199</w:t>
            </w:r>
          </w:p>
        </w:tc>
        <w:tc>
          <w:tcPr>
            <w:tcW w:w="1134" w:type="dxa"/>
            <w:noWrap/>
            <w:hideMark/>
          </w:tcPr>
          <w:p w14:paraId="3D918DDD" w14:textId="77777777" w:rsidR="005F08B9" w:rsidRPr="00F82A93" w:rsidRDefault="005F08B9" w:rsidP="00A179C0">
            <w:pPr>
              <w:rPr>
                <w:rFonts w:asciiTheme="majorBidi" w:hAnsiTheme="majorBidi" w:cstheme="majorBidi"/>
                <w:sz w:val="16"/>
                <w:szCs w:val="16"/>
              </w:rPr>
            </w:pPr>
            <w:r w:rsidRPr="00F82A93">
              <w:rPr>
                <w:rFonts w:asciiTheme="majorBidi" w:hAnsiTheme="majorBidi" w:cstheme="majorBidi"/>
                <w:sz w:val="16"/>
                <w:szCs w:val="16"/>
              </w:rPr>
              <w:t>2025-03-30</w:t>
            </w:r>
          </w:p>
        </w:tc>
        <w:tc>
          <w:tcPr>
            <w:tcW w:w="1134" w:type="dxa"/>
            <w:noWrap/>
            <w:hideMark/>
          </w:tcPr>
          <w:p w14:paraId="13FC3087" w14:textId="77777777" w:rsidR="005F08B9" w:rsidRPr="002964C8" w:rsidRDefault="005F08B9" w:rsidP="00A179C0">
            <w:pPr>
              <w:rPr>
                <w:rFonts w:asciiTheme="majorBidi" w:hAnsiTheme="majorBidi" w:cstheme="majorBidi"/>
                <w:sz w:val="16"/>
                <w:szCs w:val="16"/>
              </w:rPr>
            </w:pPr>
            <w:r w:rsidRPr="002964C8">
              <w:rPr>
                <w:rFonts w:asciiTheme="majorBidi" w:hAnsiTheme="majorBidi" w:cstheme="majorBidi"/>
                <w:sz w:val="16"/>
                <w:szCs w:val="16"/>
              </w:rPr>
              <w:t>2024-03-30</w:t>
            </w:r>
          </w:p>
        </w:tc>
        <w:tc>
          <w:tcPr>
            <w:tcW w:w="850" w:type="dxa"/>
            <w:noWrap/>
            <w:hideMark/>
          </w:tcPr>
          <w:p w14:paraId="4CDE6B55" w14:textId="77777777" w:rsidR="005F08B9" w:rsidRPr="00F82A93" w:rsidRDefault="005F08B9" w:rsidP="00A179C0">
            <w:pPr>
              <w:rPr>
                <w:rFonts w:asciiTheme="majorBidi" w:hAnsiTheme="majorBidi" w:cstheme="majorBidi"/>
                <w:sz w:val="16"/>
                <w:szCs w:val="16"/>
              </w:rPr>
            </w:pPr>
            <w:r w:rsidRPr="00F82A93">
              <w:rPr>
                <w:rFonts w:asciiTheme="majorBidi" w:hAnsiTheme="majorBidi" w:cstheme="majorBidi"/>
                <w:sz w:val="16"/>
                <w:szCs w:val="16"/>
              </w:rPr>
              <w:t>8675,7</w:t>
            </w:r>
          </w:p>
        </w:tc>
        <w:tc>
          <w:tcPr>
            <w:tcW w:w="1128" w:type="dxa"/>
            <w:noWrap/>
            <w:hideMark/>
          </w:tcPr>
          <w:p w14:paraId="0BC86FE1" w14:textId="77777777" w:rsidR="005F08B9" w:rsidRPr="00F82A93" w:rsidRDefault="005F08B9" w:rsidP="00A179C0">
            <w:pPr>
              <w:rPr>
                <w:rFonts w:asciiTheme="majorBidi" w:hAnsiTheme="majorBidi" w:cstheme="majorBidi"/>
                <w:sz w:val="16"/>
                <w:szCs w:val="16"/>
              </w:rPr>
            </w:pPr>
            <w:r w:rsidRPr="00F82A93">
              <w:rPr>
                <w:rFonts w:asciiTheme="majorBidi" w:hAnsiTheme="majorBidi" w:cstheme="majorBidi"/>
                <w:sz w:val="16"/>
                <w:szCs w:val="16"/>
              </w:rPr>
              <w:t>86757</w:t>
            </w:r>
          </w:p>
        </w:tc>
      </w:tr>
      <w:tr w:rsidR="005F08B9" w:rsidRPr="00F82A93" w14:paraId="431A0910" w14:textId="77777777" w:rsidTr="00A179C0">
        <w:trPr>
          <w:trHeight w:val="290"/>
        </w:trPr>
        <w:tc>
          <w:tcPr>
            <w:tcW w:w="986" w:type="dxa"/>
            <w:noWrap/>
            <w:hideMark/>
          </w:tcPr>
          <w:p w14:paraId="67F58EDE" w14:textId="77777777" w:rsidR="005F08B9" w:rsidRPr="00F82A93" w:rsidRDefault="005F08B9" w:rsidP="00A179C0">
            <w:pPr>
              <w:rPr>
                <w:rFonts w:asciiTheme="majorBidi" w:hAnsiTheme="majorBidi" w:cstheme="majorBidi"/>
                <w:sz w:val="16"/>
                <w:szCs w:val="16"/>
              </w:rPr>
            </w:pPr>
            <w:r w:rsidRPr="00F82A93">
              <w:rPr>
                <w:rFonts w:asciiTheme="majorBidi" w:hAnsiTheme="majorBidi" w:cstheme="majorBidi"/>
                <w:sz w:val="16"/>
                <w:szCs w:val="16"/>
              </w:rPr>
              <w:t>21-S1-315</w:t>
            </w:r>
          </w:p>
        </w:tc>
        <w:tc>
          <w:tcPr>
            <w:tcW w:w="4396" w:type="dxa"/>
            <w:noWrap/>
            <w:hideMark/>
          </w:tcPr>
          <w:p w14:paraId="5276D861" w14:textId="77777777" w:rsidR="005F08B9" w:rsidRPr="00F82A93" w:rsidRDefault="005F08B9" w:rsidP="00A179C0">
            <w:pPr>
              <w:rPr>
                <w:rFonts w:asciiTheme="majorBidi" w:hAnsiTheme="majorBidi" w:cstheme="majorBidi"/>
                <w:sz w:val="16"/>
                <w:szCs w:val="16"/>
              </w:rPr>
            </w:pPr>
            <w:r w:rsidRPr="00F82A93">
              <w:rPr>
                <w:rFonts w:asciiTheme="majorBidi" w:hAnsiTheme="majorBidi" w:cstheme="majorBidi"/>
                <w:sz w:val="16"/>
                <w:szCs w:val="16"/>
              </w:rPr>
              <w:t>A. Jakšto g, 1, Vilniuje, projektavimo paslaugos</w:t>
            </w:r>
          </w:p>
        </w:tc>
        <w:tc>
          <w:tcPr>
            <w:tcW w:w="1134" w:type="dxa"/>
            <w:noWrap/>
            <w:hideMark/>
          </w:tcPr>
          <w:p w14:paraId="3457D323" w14:textId="77777777" w:rsidR="005F08B9" w:rsidRPr="00F82A93" w:rsidRDefault="005F08B9" w:rsidP="00A179C0">
            <w:pPr>
              <w:rPr>
                <w:rFonts w:asciiTheme="majorBidi" w:hAnsiTheme="majorBidi" w:cstheme="majorBidi"/>
                <w:sz w:val="16"/>
                <w:szCs w:val="16"/>
              </w:rPr>
            </w:pPr>
            <w:r w:rsidRPr="00F82A93">
              <w:rPr>
                <w:rFonts w:asciiTheme="majorBidi" w:hAnsiTheme="majorBidi" w:cstheme="majorBidi"/>
                <w:sz w:val="16"/>
                <w:szCs w:val="16"/>
              </w:rPr>
              <w:t>2024-02-25</w:t>
            </w:r>
          </w:p>
        </w:tc>
        <w:tc>
          <w:tcPr>
            <w:tcW w:w="1134" w:type="dxa"/>
            <w:noWrap/>
            <w:hideMark/>
          </w:tcPr>
          <w:p w14:paraId="284BADA6" w14:textId="77777777" w:rsidR="005F08B9" w:rsidRPr="002964C8" w:rsidRDefault="005F08B9" w:rsidP="00A179C0">
            <w:pPr>
              <w:rPr>
                <w:rFonts w:asciiTheme="majorBidi" w:hAnsiTheme="majorBidi" w:cstheme="majorBidi"/>
                <w:sz w:val="16"/>
                <w:szCs w:val="16"/>
              </w:rPr>
            </w:pPr>
            <w:r w:rsidRPr="002964C8">
              <w:rPr>
                <w:rFonts w:asciiTheme="majorBidi" w:hAnsiTheme="majorBidi" w:cstheme="majorBidi"/>
                <w:sz w:val="16"/>
                <w:szCs w:val="16"/>
              </w:rPr>
              <w:t>2024-04-18</w:t>
            </w:r>
          </w:p>
        </w:tc>
        <w:tc>
          <w:tcPr>
            <w:tcW w:w="850" w:type="dxa"/>
            <w:noWrap/>
            <w:hideMark/>
          </w:tcPr>
          <w:p w14:paraId="7A517B2A" w14:textId="77777777" w:rsidR="005F08B9" w:rsidRPr="00F82A93" w:rsidRDefault="005F08B9" w:rsidP="00A179C0">
            <w:pPr>
              <w:rPr>
                <w:rFonts w:asciiTheme="majorBidi" w:hAnsiTheme="majorBidi" w:cstheme="majorBidi"/>
                <w:sz w:val="16"/>
                <w:szCs w:val="16"/>
              </w:rPr>
            </w:pPr>
            <w:r w:rsidRPr="00F82A93">
              <w:rPr>
                <w:rFonts w:asciiTheme="majorBidi" w:hAnsiTheme="majorBidi" w:cstheme="majorBidi"/>
                <w:sz w:val="16"/>
                <w:szCs w:val="16"/>
              </w:rPr>
              <w:t>8941,9</w:t>
            </w:r>
          </w:p>
        </w:tc>
        <w:tc>
          <w:tcPr>
            <w:tcW w:w="1128" w:type="dxa"/>
            <w:noWrap/>
            <w:hideMark/>
          </w:tcPr>
          <w:p w14:paraId="22EEED80" w14:textId="77777777" w:rsidR="005F08B9" w:rsidRPr="00F82A93" w:rsidRDefault="005F08B9" w:rsidP="00A179C0">
            <w:pPr>
              <w:rPr>
                <w:rFonts w:asciiTheme="majorBidi" w:hAnsiTheme="majorBidi" w:cstheme="majorBidi"/>
                <w:sz w:val="16"/>
                <w:szCs w:val="16"/>
              </w:rPr>
            </w:pPr>
            <w:r w:rsidRPr="00F82A93">
              <w:rPr>
                <w:rFonts w:asciiTheme="majorBidi" w:hAnsiTheme="majorBidi" w:cstheme="majorBidi"/>
                <w:sz w:val="16"/>
                <w:szCs w:val="16"/>
              </w:rPr>
              <w:t>119669</w:t>
            </w:r>
          </w:p>
        </w:tc>
      </w:tr>
      <w:tr w:rsidR="005F08B9" w:rsidRPr="00F82A93" w14:paraId="744E5158" w14:textId="77777777" w:rsidTr="00A179C0">
        <w:trPr>
          <w:trHeight w:val="290"/>
        </w:trPr>
        <w:tc>
          <w:tcPr>
            <w:tcW w:w="986" w:type="dxa"/>
            <w:noWrap/>
            <w:hideMark/>
          </w:tcPr>
          <w:p w14:paraId="58DA822D" w14:textId="77777777" w:rsidR="005F08B9" w:rsidRPr="00F82A93" w:rsidRDefault="005F08B9" w:rsidP="00A179C0">
            <w:pPr>
              <w:rPr>
                <w:rFonts w:asciiTheme="majorBidi" w:hAnsiTheme="majorBidi" w:cstheme="majorBidi"/>
                <w:sz w:val="16"/>
                <w:szCs w:val="16"/>
              </w:rPr>
            </w:pPr>
            <w:r w:rsidRPr="00F82A93">
              <w:rPr>
                <w:rFonts w:asciiTheme="majorBidi" w:hAnsiTheme="majorBidi" w:cstheme="majorBidi"/>
                <w:sz w:val="16"/>
                <w:szCs w:val="16"/>
              </w:rPr>
              <w:t>22-S1-1562</w:t>
            </w:r>
          </w:p>
        </w:tc>
        <w:tc>
          <w:tcPr>
            <w:tcW w:w="4396" w:type="dxa"/>
            <w:noWrap/>
            <w:hideMark/>
          </w:tcPr>
          <w:p w14:paraId="51C0F09B" w14:textId="77777777" w:rsidR="005F08B9" w:rsidRPr="00F82A93" w:rsidRDefault="005F08B9" w:rsidP="00A179C0">
            <w:pPr>
              <w:rPr>
                <w:rFonts w:asciiTheme="majorBidi" w:hAnsiTheme="majorBidi" w:cstheme="majorBidi"/>
                <w:sz w:val="16"/>
                <w:szCs w:val="16"/>
              </w:rPr>
            </w:pPr>
            <w:r w:rsidRPr="00F82A93">
              <w:rPr>
                <w:rFonts w:asciiTheme="majorBidi" w:hAnsiTheme="majorBidi" w:cstheme="majorBidi"/>
                <w:sz w:val="16"/>
                <w:szCs w:val="16"/>
              </w:rPr>
              <w:t>Rangos sutartis S. Nėries g. 4, Klaipėda, modernizavimo rangos darbų pirkimas</w:t>
            </w:r>
          </w:p>
        </w:tc>
        <w:tc>
          <w:tcPr>
            <w:tcW w:w="1134" w:type="dxa"/>
            <w:noWrap/>
            <w:hideMark/>
          </w:tcPr>
          <w:p w14:paraId="71DB589A" w14:textId="77777777" w:rsidR="005F08B9" w:rsidRPr="00F82A93" w:rsidRDefault="005F08B9" w:rsidP="00A179C0">
            <w:pPr>
              <w:rPr>
                <w:rFonts w:asciiTheme="majorBidi" w:hAnsiTheme="majorBidi" w:cstheme="majorBidi"/>
                <w:sz w:val="16"/>
                <w:szCs w:val="16"/>
              </w:rPr>
            </w:pPr>
            <w:r w:rsidRPr="00F82A93">
              <w:rPr>
                <w:rFonts w:asciiTheme="majorBidi" w:hAnsiTheme="majorBidi" w:cstheme="majorBidi"/>
                <w:sz w:val="16"/>
                <w:szCs w:val="16"/>
              </w:rPr>
              <w:t>2024-09-30</w:t>
            </w:r>
          </w:p>
        </w:tc>
        <w:tc>
          <w:tcPr>
            <w:tcW w:w="1134" w:type="dxa"/>
            <w:noWrap/>
            <w:hideMark/>
          </w:tcPr>
          <w:p w14:paraId="06E2F42D" w14:textId="77777777" w:rsidR="005F08B9" w:rsidRPr="002964C8" w:rsidRDefault="005F08B9" w:rsidP="00A179C0">
            <w:pPr>
              <w:rPr>
                <w:rFonts w:asciiTheme="majorBidi" w:hAnsiTheme="majorBidi" w:cstheme="majorBidi"/>
                <w:sz w:val="16"/>
                <w:szCs w:val="16"/>
              </w:rPr>
            </w:pPr>
            <w:r w:rsidRPr="002964C8">
              <w:rPr>
                <w:rFonts w:asciiTheme="majorBidi" w:hAnsiTheme="majorBidi" w:cstheme="majorBidi"/>
                <w:sz w:val="16"/>
                <w:szCs w:val="16"/>
              </w:rPr>
              <w:t>2024-09-30</w:t>
            </w:r>
          </w:p>
        </w:tc>
        <w:tc>
          <w:tcPr>
            <w:tcW w:w="850" w:type="dxa"/>
            <w:noWrap/>
            <w:hideMark/>
          </w:tcPr>
          <w:p w14:paraId="4BBE08EF" w14:textId="77777777" w:rsidR="005F08B9" w:rsidRPr="00F82A93" w:rsidRDefault="005F08B9" w:rsidP="00A179C0">
            <w:pPr>
              <w:rPr>
                <w:rFonts w:asciiTheme="majorBidi" w:hAnsiTheme="majorBidi" w:cstheme="majorBidi"/>
                <w:sz w:val="16"/>
                <w:szCs w:val="16"/>
              </w:rPr>
            </w:pPr>
            <w:r w:rsidRPr="00F82A93">
              <w:rPr>
                <w:rFonts w:asciiTheme="majorBidi" w:hAnsiTheme="majorBidi" w:cstheme="majorBidi"/>
                <w:sz w:val="16"/>
                <w:szCs w:val="16"/>
              </w:rPr>
              <w:t>201415,6</w:t>
            </w:r>
          </w:p>
        </w:tc>
        <w:tc>
          <w:tcPr>
            <w:tcW w:w="1128" w:type="dxa"/>
            <w:noWrap/>
            <w:hideMark/>
          </w:tcPr>
          <w:p w14:paraId="5469A791" w14:textId="77777777" w:rsidR="005F08B9" w:rsidRPr="00F82A93" w:rsidRDefault="005F08B9" w:rsidP="00A179C0">
            <w:pPr>
              <w:rPr>
                <w:rFonts w:asciiTheme="majorBidi" w:hAnsiTheme="majorBidi" w:cstheme="majorBidi"/>
                <w:sz w:val="16"/>
                <w:szCs w:val="16"/>
              </w:rPr>
            </w:pPr>
            <w:r w:rsidRPr="00F82A93">
              <w:rPr>
                <w:rFonts w:asciiTheme="majorBidi" w:hAnsiTheme="majorBidi" w:cstheme="majorBidi"/>
                <w:sz w:val="16"/>
                <w:szCs w:val="16"/>
              </w:rPr>
              <w:t>2437129</w:t>
            </w:r>
          </w:p>
        </w:tc>
      </w:tr>
      <w:tr w:rsidR="005F08B9" w:rsidRPr="00F82A93" w14:paraId="3F28BA4D" w14:textId="77777777" w:rsidTr="00A179C0">
        <w:trPr>
          <w:trHeight w:val="290"/>
        </w:trPr>
        <w:tc>
          <w:tcPr>
            <w:tcW w:w="986" w:type="dxa"/>
            <w:noWrap/>
            <w:hideMark/>
          </w:tcPr>
          <w:p w14:paraId="7B939DD8" w14:textId="77777777" w:rsidR="005F08B9" w:rsidRPr="00F82A93" w:rsidRDefault="005F08B9" w:rsidP="00A179C0">
            <w:pPr>
              <w:rPr>
                <w:rFonts w:asciiTheme="majorBidi" w:hAnsiTheme="majorBidi" w:cstheme="majorBidi"/>
                <w:sz w:val="16"/>
                <w:szCs w:val="16"/>
              </w:rPr>
            </w:pPr>
            <w:r w:rsidRPr="00F82A93">
              <w:rPr>
                <w:rFonts w:asciiTheme="majorBidi" w:hAnsiTheme="majorBidi" w:cstheme="majorBidi"/>
                <w:sz w:val="16"/>
                <w:szCs w:val="16"/>
              </w:rPr>
              <w:t>22-S1-1694</w:t>
            </w:r>
          </w:p>
        </w:tc>
        <w:tc>
          <w:tcPr>
            <w:tcW w:w="4396" w:type="dxa"/>
            <w:noWrap/>
            <w:hideMark/>
          </w:tcPr>
          <w:p w14:paraId="691B517D" w14:textId="77777777" w:rsidR="005F08B9" w:rsidRPr="00F82A93" w:rsidRDefault="005F08B9" w:rsidP="00A179C0">
            <w:pPr>
              <w:rPr>
                <w:rFonts w:asciiTheme="majorBidi" w:hAnsiTheme="majorBidi" w:cstheme="majorBidi"/>
                <w:sz w:val="16"/>
                <w:szCs w:val="16"/>
              </w:rPr>
            </w:pPr>
            <w:r w:rsidRPr="00F82A93">
              <w:rPr>
                <w:rFonts w:asciiTheme="majorBidi" w:hAnsiTheme="majorBidi" w:cstheme="majorBidi"/>
                <w:sz w:val="16"/>
                <w:szCs w:val="16"/>
              </w:rPr>
              <w:t>S. Nėries g. 4, Klaipėda, atnaujinimo (modernizavimo ir remonto) statybos darbų techninės priežiūros pirkimas</w:t>
            </w:r>
          </w:p>
        </w:tc>
        <w:tc>
          <w:tcPr>
            <w:tcW w:w="1134" w:type="dxa"/>
            <w:noWrap/>
            <w:hideMark/>
          </w:tcPr>
          <w:p w14:paraId="58122983" w14:textId="77777777" w:rsidR="005F08B9" w:rsidRPr="00F82A93" w:rsidRDefault="005F08B9" w:rsidP="00A179C0">
            <w:pPr>
              <w:rPr>
                <w:rFonts w:asciiTheme="majorBidi" w:hAnsiTheme="majorBidi" w:cstheme="majorBidi"/>
                <w:sz w:val="16"/>
                <w:szCs w:val="16"/>
              </w:rPr>
            </w:pPr>
            <w:r w:rsidRPr="00F82A93">
              <w:rPr>
                <w:rFonts w:asciiTheme="majorBidi" w:hAnsiTheme="majorBidi" w:cstheme="majorBidi"/>
                <w:sz w:val="16"/>
                <w:szCs w:val="16"/>
              </w:rPr>
              <w:t>2024-10-31</w:t>
            </w:r>
          </w:p>
        </w:tc>
        <w:tc>
          <w:tcPr>
            <w:tcW w:w="1134" w:type="dxa"/>
            <w:noWrap/>
            <w:hideMark/>
          </w:tcPr>
          <w:p w14:paraId="4BCF5F28" w14:textId="77777777" w:rsidR="005F08B9" w:rsidRPr="002964C8" w:rsidRDefault="005F08B9" w:rsidP="00A179C0">
            <w:pPr>
              <w:rPr>
                <w:rFonts w:asciiTheme="majorBidi" w:hAnsiTheme="majorBidi" w:cstheme="majorBidi"/>
                <w:sz w:val="16"/>
                <w:szCs w:val="16"/>
              </w:rPr>
            </w:pPr>
            <w:r w:rsidRPr="002964C8">
              <w:rPr>
                <w:rFonts w:asciiTheme="majorBidi" w:hAnsiTheme="majorBidi" w:cstheme="majorBidi"/>
                <w:sz w:val="16"/>
                <w:szCs w:val="16"/>
              </w:rPr>
              <w:t>2024-09-30</w:t>
            </w:r>
          </w:p>
        </w:tc>
        <w:tc>
          <w:tcPr>
            <w:tcW w:w="850" w:type="dxa"/>
            <w:noWrap/>
            <w:hideMark/>
          </w:tcPr>
          <w:p w14:paraId="6D824FD4" w14:textId="77777777" w:rsidR="005F08B9" w:rsidRPr="00F82A93" w:rsidRDefault="005F08B9" w:rsidP="00A179C0">
            <w:pPr>
              <w:rPr>
                <w:rFonts w:asciiTheme="majorBidi" w:hAnsiTheme="majorBidi" w:cstheme="majorBidi"/>
                <w:sz w:val="16"/>
                <w:szCs w:val="16"/>
              </w:rPr>
            </w:pPr>
            <w:r w:rsidRPr="00F82A93">
              <w:rPr>
                <w:rFonts w:asciiTheme="majorBidi" w:hAnsiTheme="majorBidi" w:cstheme="majorBidi"/>
                <w:sz w:val="16"/>
                <w:szCs w:val="16"/>
              </w:rPr>
              <w:t>1239,67</w:t>
            </w:r>
          </w:p>
        </w:tc>
        <w:tc>
          <w:tcPr>
            <w:tcW w:w="1128" w:type="dxa"/>
            <w:noWrap/>
            <w:hideMark/>
          </w:tcPr>
          <w:p w14:paraId="3B3D711A" w14:textId="77777777" w:rsidR="005F08B9" w:rsidRPr="00F82A93" w:rsidRDefault="005F08B9" w:rsidP="00A179C0">
            <w:pPr>
              <w:rPr>
                <w:rFonts w:asciiTheme="majorBidi" w:hAnsiTheme="majorBidi" w:cstheme="majorBidi"/>
                <w:sz w:val="16"/>
                <w:szCs w:val="16"/>
              </w:rPr>
            </w:pPr>
            <w:r w:rsidRPr="00F82A93">
              <w:rPr>
                <w:rFonts w:asciiTheme="majorBidi" w:hAnsiTheme="majorBidi" w:cstheme="majorBidi"/>
                <w:sz w:val="16"/>
                <w:szCs w:val="16"/>
              </w:rPr>
              <w:t>27082,05</w:t>
            </w:r>
          </w:p>
        </w:tc>
      </w:tr>
      <w:tr w:rsidR="005F08B9" w:rsidRPr="00F82A93" w14:paraId="35586722" w14:textId="77777777" w:rsidTr="00A179C0">
        <w:trPr>
          <w:trHeight w:val="290"/>
        </w:trPr>
        <w:tc>
          <w:tcPr>
            <w:tcW w:w="986" w:type="dxa"/>
            <w:noWrap/>
            <w:hideMark/>
          </w:tcPr>
          <w:p w14:paraId="187FFD3B" w14:textId="77777777" w:rsidR="005F08B9" w:rsidRPr="00F82A93" w:rsidRDefault="005F08B9" w:rsidP="00A179C0">
            <w:pPr>
              <w:rPr>
                <w:rFonts w:asciiTheme="majorBidi" w:hAnsiTheme="majorBidi" w:cstheme="majorBidi"/>
                <w:sz w:val="16"/>
                <w:szCs w:val="16"/>
              </w:rPr>
            </w:pPr>
            <w:r w:rsidRPr="00F82A93">
              <w:rPr>
                <w:rFonts w:asciiTheme="majorBidi" w:hAnsiTheme="majorBidi" w:cstheme="majorBidi"/>
                <w:sz w:val="16"/>
                <w:szCs w:val="16"/>
              </w:rPr>
              <w:t>22-S1-1733</w:t>
            </w:r>
          </w:p>
        </w:tc>
        <w:tc>
          <w:tcPr>
            <w:tcW w:w="4396" w:type="dxa"/>
            <w:noWrap/>
            <w:hideMark/>
          </w:tcPr>
          <w:p w14:paraId="0122916F" w14:textId="77777777" w:rsidR="005F08B9" w:rsidRPr="00F82A93" w:rsidRDefault="005F08B9" w:rsidP="00A179C0">
            <w:pPr>
              <w:rPr>
                <w:rFonts w:asciiTheme="majorBidi" w:hAnsiTheme="majorBidi" w:cstheme="majorBidi"/>
                <w:sz w:val="16"/>
                <w:szCs w:val="16"/>
              </w:rPr>
            </w:pPr>
            <w:r w:rsidRPr="00F82A93">
              <w:rPr>
                <w:rFonts w:asciiTheme="majorBidi" w:hAnsiTheme="majorBidi" w:cstheme="majorBidi"/>
                <w:sz w:val="16"/>
                <w:szCs w:val="16"/>
              </w:rPr>
              <w:t>Kęstučio g. 2, Šilutė, atnaujinimo (modernizavimo ir remonto) statybos darbų techninės priežiūros paslaugos</w:t>
            </w:r>
          </w:p>
        </w:tc>
        <w:tc>
          <w:tcPr>
            <w:tcW w:w="1134" w:type="dxa"/>
            <w:noWrap/>
            <w:hideMark/>
          </w:tcPr>
          <w:p w14:paraId="2632105D" w14:textId="77777777" w:rsidR="005F08B9" w:rsidRPr="00F82A93" w:rsidRDefault="005F08B9" w:rsidP="00A179C0">
            <w:pPr>
              <w:rPr>
                <w:rFonts w:asciiTheme="majorBidi" w:hAnsiTheme="majorBidi" w:cstheme="majorBidi"/>
                <w:sz w:val="16"/>
                <w:szCs w:val="16"/>
              </w:rPr>
            </w:pPr>
            <w:r w:rsidRPr="00F82A93">
              <w:rPr>
                <w:rFonts w:asciiTheme="majorBidi" w:hAnsiTheme="majorBidi" w:cstheme="majorBidi"/>
                <w:sz w:val="16"/>
                <w:szCs w:val="16"/>
              </w:rPr>
              <w:t>2024-10-24</w:t>
            </w:r>
          </w:p>
        </w:tc>
        <w:tc>
          <w:tcPr>
            <w:tcW w:w="1134" w:type="dxa"/>
            <w:noWrap/>
            <w:hideMark/>
          </w:tcPr>
          <w:p w14:paraId="69AA8CBC" w14:textId="77777777" w:rsidR="005F08B9" w:rsidRPr="002964C8" w:rsidRDefault="005F08B9" w:rsidP="00A179C0">
            <w:pPr>
              <w:rPr>
                <w:rFonts w:asciiTheme="majorBidi" w:hAnsiTheme="majorBidi" w:cstheme="majorBidi"/>
                <w:sz w:val="16"/>
                <w:szCs w:val="16"/>
              </w:rPr>
            </w:pPr>
            <w:r w:rsidRPr="002964C8">
              <w:rPr>
                <w:rFonts w:asciiTheme="majorBidi" w:hAnsiTheme="majorBidi" w:cstheme="majorBidi"/>
                <w:sz w:val="16"/>
                <w:szCs w:val="16"/>
              </w:rPr>
              <w:t>2024-11-11</w:t>
            </w:r>
          </w:p>
        </w:tc>
        <w:tc>
          <w:tcPr>
            <w:tcW w:w="850" w:type="dxa"/>
            <w:noWrap/>
            <w:hideMark/>
          </w:tcPr>
          <w:p w14:paraId="4EE6028B" w14:textId="77777777" w:rsidR="005F08B9" w:rsidRPr="00F82A93" w:rsidRDefault="005F08B9" w:rsidP="00A179C0">
            <w:pPr>
              <w:rPr>
                <w:rFonts w:asciiTheme="majorBidi" w:hAnsiTheme="majorBidi" w:cstheme="majorBidi"/>
                <w:sz w:val="16"/>
                <w:szCs w:val="16"/>
              </w:rPr>
            </w:pPr>
            <w:r w:rsidRPr="00F82A93">
              <w:rPr>
                <w:rFonts w:asciiTheme="majorBidi" w:hAnsiTheme="majorBidi" w:cstheme="majorBidi"/>
                <w:sz w:val="16"/>
                <w:szCs w:val="16"/>
              </w:rPr>
              <w:t>1074,38</w:t>
            </w:r>
          </w:p>
        </w:tc>
        <w:tc>
          <w:tcPr>
            <w:tcW w:w="1128" w:type="dxa"/>
            <w:noWrap/>
            <w:hideMark/>
          </w:tcPr>
          <w:p w14:paraId="68FC626A" w14:textId="77777777" w:rsidR="005F08B9" w:rsidRPr="00F82A93" w:rsidRDefault="005F08B9" w:rsidP="00A179C0">
            <w:pPr>
              <w:rPr>
                <w:rFonts w:asciiTheme="majorBidi" w:hAnsiTheme="majorBidi" w:cstheme="majorBidi"/>
                <w:sz w:val="16"/>
                <w:szCs w:val="16"/>
              </w:rPr>
            </w:pPr>
            <w:r w:rsidRPr="00F82A93">
              <w:rPr>
                <w:rFonts w:asciiTheme="majorBidi" w:hAnsiTheme="majorBidi" w:cstheme="majorBidi"/>
                <w:sz w:val="16"/>
                <w:szCs w:val="16"/>
              </w:rPr>
              <w:t>16050,83</w:t>
            </w:r>
          </w:p>
        </w:tc>
      </w:tr>
      <w:tr w:rsidR="005F08B9" w:rsidRPr="00F82A93" w14:paraId="180C087C" w14:textId="77777777" w:rsidTr="00A179C0">
        <w:trPr>
          <w:trHeight w:val="290"/>
        </w:trPr>
        <w:tc>
          <w:tcPr>
            <w:tcW w:w="986" w:type="dxa"/>
            <w:noWrap/>
            <w:hideMark/>
          </w:tcPr>
          <w:p w14:paraId="1B79490A" w14:textId="77777777" w:rsidR="005F08B9" w:rsidRPr="00F82A93" w:rsidRDefault="005F08B9" w:rsidP="00A179C0">
            <w:pPr>
              <w:rPr>
                <w:rFonts w:asciiTheme="majorBidi" w:hAnsiTheme="majorBidi" w:cstheme="majorBidi"/>
                <w:sz w:val="16"/>
                <w:szCs w:val="16"/>
              </w:rPr>
            </w:pPr>
            <w:r w:rsidRPr="00F82A93">
              <w:rPr>
                <w:rFonts w:asciiTheme="majorBidi" w:hAnsiTheme="majorBidi" w:cstheme="majorBidi"/>
                <w:sz w:val="16"/>
                <w:szCs w:val="16"/>
              </w:rPr>
              <w:t>24-S1-356</w:t>
            </w:r>
          </w:p>
        </w:tc>
        <w:tc>
          <w:tcPr>
            <w:tcW w:w="4396" w:type="dxa"/>
            <w:noWrap/>
            <w:hideMark/>
          </w:tcPr>
          <w:p w14:paraId="16F3B544" w14:textId="77777777" w:rsidR="005F08B9" w:rsidRPr="00F82A93" w:rsidRDefault="005F08B9" w:rsidP="00A179C0">
            <w:pPr>
              <w:rPr>
                <w:rFonts w:asciiTheme="majorBidi" w:hAnsiTheme="majorBidi" w:cstheme="majorBidi"/>
                <w:sz w:val="16"/>
                <w:szCs w:val="16"/>
              </w:rPr>
            </w:pPr>
            <w:r w:rsidRPr="00F82A93">
              <w:rPr>
                <w:rFonts w:asciiTheme="majorBidi" w:hAnsiTheme="majorBidi" w:cstheme="majorBidi"/>
                <w:sz w:val="16"/>
                <w:szCs w:val="16"/>
              </w:rPr>
              <w:t>Saulės elektrinės įrangos įsigijimo, įrengimo ir priežiūros paslaugos</w:t>
            </w:r>
          </w:p>
        </w:tc>
        <w:tc>
          <w:tcPr>
            <w:tcW w:w="1134" w:type="dxa"/>
            <w:noWrap/>
            <w:hideMark/>
          </w:tcPr>
          <w:p w14:paraId="1E7DA0C3" w14:textId="77777777" w:rsidR="005F08B9" w:rsidRPr="00F82A93" w:rsidRDefault="005F08B9" w:rsidP="00A179C0">
            <w:pPr>
              <w:rPr>
                <w:rFonts w:asciiTheme="majorBidi" w:hAnsiTheme="majorBidi" w:cstheme="majorBidi"/>
                <w:sz w:val="16"/>
                <w:szCs w:val="16"/>
              </w:rPr>
            </w:pPr>
            <w:r w:rsidRPr="00F82A93">
              <w:rPr>
                <w:rFonts w:asciiTheme="majorBidi" w:hAnsiTheme="majorBidi" w:cstheme="majorBidi"/>
                <w:sz w:val="16"/>
                <w:szCs w:val="16"/>
              </w:rPr>
              <w:t>2029-11-30</w:t>
            </w:r>
          </w:p>
        </w:tc>
        <w:tc>
          <w:tcPr>
            <w:tcW w:w="1134" w:type="dxa"/>
            <w:noWrap/>
            <w:hideMark/>
          </w:tcPr>
          <w:p w14:paraId="548D0F03" w14:textId="77777777" w:rsidR="005F08B9" w:rsidRPr="00F82A93" w:rsidRDefault="005F08B9" w:rsidP="00A179C0">
            <w:pPr>
              <w:rPr>
                <w:rFonts w:asciiTheme="majorBidi" w:hAnsiTheme="majorBidi" w:cstheme="majorBidi"/>
                <w:sz w:val="16"/>
                <w:szCs w:val="16"/>
              </w:rPr>
            </w:pPr>
            <w:r w:rsidRPr="00F82A93">
              <w:rPr>
                <w:rFonts w:asciiTheme="majorBidi" w:hAnsiTheme="majorBidi" w:cstheme="majorBidi"/>
                <w:sz w:val="16"/>
                <w:szCs w:val="16"/>
              </w:rPr>
              <w:t>2024-11-16</w:t>
            </w:r>
          </w:p>
        </w:tc>
        <w:tc>
          <w:tcPr>
            <w:tcW w:w="850" w:type="dxa"/>
            <w:noWrap/>
            <w:hideMark/>
          </w:tcPr>
          <w:p w14:paraId="4285CC71" w14:textId="77777777" w:rsidR="005F08B9" w:rsidRPr="00F82A93" w:rsidRDefault="005F08B9" w:rsidP="00A179C0">
            <w:pPr>
              <w:rPr>
                <w:rFonts w:asciiTheme="majorBidi" w:hAnsiTheme="majorBidi" w:cstheme="majorBidi"/>
                <w:sz w:val="16"/>
                <w:szCs w:val="16"/>
              </w:rPr>
            </w:pPr>
            <w:r w:rsidRPr="00F82A93">
              <w:rPr>
                <w:rFonts w:asciiTheme="majorBidi" w:hAnsiTheme="majorBidi" w:cstheme="majorBidi"/>
                <w:sz w:val="16"/>
                <w:szCs w:val="16"/>
              </w:rPr>
              <w:t>725</w:t>
            </w:r>
          </w:p>
        </w:tc>
        <w:tc>
          <w:tcPr>
            <w:tcW w:w="1128" w:type="dxa"/>
            <w:noWrap/>
            <w:hideMark/>
          </w:tcPr>
          <w:p w14:paraId="2200E98A" w14:textId="77777777" w:rsidR="005F08B9" w:rsidRPr="00F82A93" w:rsidRDefault="005F08B9" w:rsidP="00A179C0">
            <w:pPr>
              <w:rPr>
                <w:rFonts w:asciiTheme="majorBidi" w:hAnsiTheme="majorBidi" w:cstheme="majorBidi"/>
                <w:sz w:val="16"/>
                <w:szCs w:val="16"/>
              </w:rPr>
            </w:pPr>
            <w:r w:rsidRPr="00F82A93">
              <w:rPr>
                <w:rFonts w:asciiTheme="majorBidi" w:hAnsiTheme="majorBidi" w:cstheme="majorBidi"/>
                <w:sz w:val="16"/>
                <w:szCs w:val="16"/>
              </w:rPr>
              <w:t>18755</w:t>
            </w:r>
          </w:p>
        </w:tc>
      </w:tr>
      <w:tr w:rsidR="005F08B9" w:rsidRPr="00F82A93" w14:paraId="277ECD1B" w14:textId="77777777" w:rsidTr="00A179C0">
        <w:trPr>
          <w:trHeight w:val="290"/>
        </w:trPr>
        <w:tc>
          <w:tcPr>
            <w:tcW w:w="986" w:type="dxa"/>
            <w:noWrap/>
            <w:hideMark/>
          </w:tcPr>
          <w:p w14:paraId="20AE3D1D" w14:textId="77777777" w:rsidR="005F08B9" w:rsidRPr="00F82A93" w:rsidRDefault="005F08B9" w:rsidP="00A179C0">
            <w:pPr>
              <w:rPr>
                <w:rFonts w:asciiTheme="majorBidi" w:hAnsiTheme="majorBidi" w:cstheme="majorBidi"/>
                <w:sz w:val="16"/>
                <w:szCs w:val="16"/>
              </w:rPr>
            </w:pPr>
            <w:r w:rsidRPr="00F82A93">
              <w:rPr>
                <w:rFonts w:asciiTheme="majorBidi" w:hAnsiTheme="majorBidi" w:cstheme="majorBidi"/>
                <w:sz w:val="16"/>
                <w:szCs w:val="16"/>
              </w:rPr>
              <w:t>21-S1-334</w:t>
            </w:r>
          </w:p>
        </w:tc>
        <w:tc>
          <w:tcPr>
            <w:tcW w:w="4396" w:type="dxa"/>
            <w:noWrap/>
            <w:hideMark/>
          </w:tcPr>
          <w:p w14:paraId="576B40A0" w14:textId="77777777" w:rsidR="005F08B9" w:rsidRPr="00F82A93" w:rsidRDefault="005F08B9" w:rsidP="00A179C0">
            <w:pPr>
              <w:rPr>
                <w:rFonts w:asciiTheme="majorBidi" w:hAnsiTheme="majorBidi" w:cstheme="majorBidi"/>
                <w:sz w:val="16"/>
                <w:szCs w:val="16"/>
              </w:rPr>
            </w:pPr>
            <w:r w:rsidRPr="00F82A93">
              <w:rPr>
                <w:rFonts w:asciiTheme="majorBidi" w:hAnsiTheme="majorBidi" w:cstheme="majorBidi"/>
                <w:sz w:val="16"/>
                <w:szCs w:val="16"/>
              </w:rPr>
              <w:t>Projektavimo paslaugų pirkimas S.</w:t>
            </w:r>
            <w:r>
              <w:rPr>
                <w:rFonts w:asciiTheme="majorBidi" w:hAnsiTheme="majorBidi" w:cstheme="majorBidi"/>
                <w:sz w:val="16"/>
                <w:szCs w:val="16"/>
              </w:rPr>
              <w:t xml:space="preserve"> </w:t>
            </w:r>
            <w:r w:rsidRPr="00F82A93">
              <w:rPr>
                <w:rFonts w:asciiTheme="majorBidi" w:hAnsiTheme="majorBidi" w:cstheme="majorBidi"/>
                <w:sz w:val="16"/>
                <w:szCs w:val="16"/>
              </w:rPr>
              <w:t>N</w:t>
            </w:r>
            <w:r>
              <w:rPr>
                <w:rFonts w:asciiTheme="majorBidi" w:hAnsiTheme="majorBidi" w:cstheme="majorBidi"/>
                <w:sz w:val="16"/>
                <w:szCs w:val="16"/>
              </w:rPr>
              <w:t>e</w:t>
            </w:r>
            <w:r w:rsidRPr="00F82A93">
              <w:rPr>
                <w:rFonts w:asciiTheme="majorBidi" w:hAnsiTheme="majorBidi" w:cstheme="majorBidi"/>
                <w:sz w:val="16"/>
                <w:szCs w:val="16"/>
              </w:rPr>
              <w:t>ries g. 4, Klaip</w:t>
            </w:r>
            <w:r>
              <w:rPr>
                <w:rFonts w:asciiTheme="majorBidi" w:hAnsiTheme="majorBidi" w:cstheme="majorBidi"/>
                <w:sz w:val="16"/>
                <w:szCs w:val="16"/>
              </w:rPr>
              <w:t>ė</w:t>
            </w:r>
            <w:r w:rsidRPr="00F82A93">
              <w:rPr>
                <w:rFonts w:asciiTheme="majorBidi" w:hAnsiTheme="majorBidi" w:cstheme="majorBidi"/>
                <w:sz w:val="16"/>
                <w:szCs w:val="16"/>
              </w:rPr>
              <w:t>da</w:t>
            </w:r>
          </w:p>
        </w:tc>
        <w:tc>
          <w:tcPr>
            <w:tcW w:w="1134" w:type="dxa"/>
            <w:noWrap/>
            <w:hideMark/>
          </w:tcPr>
          <w:p w14:paraId="489B11B7" w14:textId="77777777" w:rsidR="005F08B9" w:rsidRPr="00F82A93" w:rsidRDefault="005F08B9" w:rsidP="00A179C0">
            <w:pPr>
              <w:rPr>
                <w:rFonts w:asciiTheme="majorBidi" w:hAnsiTheme="majorBidi" w:cstheme="majorBidi"/>
                <w:sz w:val="16"/>
                <w:szCs w:val="16"/>
              </w:rPr>
            </w:pPr>
            <w:r w:rsidRPr="00F82A93">
              <w:rPr>
                <w:rFonts w:asciiTheme="majorBidi" w:hAnsiTheme="majorBidi" w:cstheme="majorBidi"/>
                <w:sz w:val="16"/>
                <w:szCs w:val="16"/>
              </w:rPr>
              <w:t>2024-09-30</w:t>
            </w:r>
          </w:p>
        </w:tc>
        <w:tc>
          <w:tcPr>
            <w:tcW w:w="1134" w:type="dxa"/>
            <w:noWrap/>
            <w:hideMark/>
          </w:tcPr>
          <w:p w14:paraId="00038049" w14:textId="77777777" w:rsidR="005F08B9" w:rsidRPr="00F82A93" w:rsidRDefault="005F08B9" w:rsidP="00A179C0">
            <w:pPr>
              <w:rPr>
                <w:rFonts w:asciiTheme="majorBidi" w:hAnsiTheme="majorBidi" w:cstheme="majorBidi"/>
                <w:sz w:val="16"/>
                <w:szCs w:val="16"/>
              </w:rPr>
            </w:pPr>
            <w:r w:rsidRPr="00F82A93">
              <w:rPr>
                <w:rFonts w:asciiTheme="majorBidi" w:hAnsiTheme="majorBidi" w:cstheme="majorBidi"/>
                <w:sz w:val="16"/>
                <w:szCs w:val="16"/>
              </w:rPr>
              <w:t>2024-11-30</w:t>
            </w:r>
          </w:p>
        </w:tc>
        <w:tc>
          <w:tcPr>
            <w:tcW w:w="850" w:type="dxa"/>
            <w:noWrap/>
            <w:hideMark/>
          </w:tcPr>
          <w:p w14:paraId="215D2C17" w14:textId="77777777" w:rsidR="005F08B9" w:rsidRPr="00F82A93" w:rsidRDefault="005F08B9" w:rsidP="00A179C0">
            <w:pPr>
              <w:rPr>
                <w:rFonts w:asciiTheme="majorBidi" w:hAnsiTheme="majorBidi" w:cstheme="majorBidi"/>
                <w:sz w:val="16"/>
                <w:szCs w:val="16"/>
              </w:rPr>
            </w:pPr>
            <w:r w:rsidRPr="00F82A93">
              <w:rPr>
                <w:rFonts w:asciiTheme="majorBidi" w:hAnsiTheme="majorBidi" w:cstheme="majorBidi"/>
                <w:sz w:val="16"/>
                <w:szCs w:val="16"/>
              </w:rPr>
              <w:t>8881,4</w:t>
            </w:r>
          </w:p>
        </w:tc>
        <w:tc>
          <w:tcPr>
            <w:tcW w:w="1128" w:type="dxa"/>
            <w:noWrap/>
            <w:hideMark/>
          </w:tcPr>
          <w:p w14:paraId="0E713159" w14:textId="77777777" w:rsidR="005F08B9" w:rsidRPr="00F82A93" w:rsidRDefault="005F08B9" w:rsidP="00A179C0">
            <w:pPr>
              <w:rPr>
                <w:rFonts w:asciiTheme="majorBidi" w:hAnsiTheme="majorBidi" w:cstheme="majorBidi"/>
                <w:sz w:val="16"/>
                <w:szCs w:val="16"/>
              </w:rPr>
            </w:pPr>
            <w:r w:rsidRPr="00F82A93">
              <w:rPr>
                <w:rFonts w:asciiTheme="majorBidi" w:hAnsiTheme="majorBidi" w:cstheme="majorBidi"/>
                <w:sz w:val="16"/>
                <w:szCs w:val="16"/>
              </w:rPr>
              <w:t>88814</w:t>
            </w:r>
          </w:p>
        </w:tc>
      </w:tr>
      <w:tr w:rsidR="005F08B9" w:rsidRPr="00F82A93" w14:paraId="0E63482A" w14:textId="77777777" w:rsidTr="00A179C0">
        <w:trPr>
          <w:trHeight w:val="290"/>
        </w:trPr>
        <w:tc>
          <w:tcPr>
            <w:tcW w:w="986" w:type="dxa"/>
            <w:noWrap/>
            <w:hideMark/>
          </w:tcPr>
          <w:p w14:paraId="468F559E" w14:textId="77777777" w:rsidR="005F08B9" w:rsidRPr="00F82A93" w:rsidRDefault="005F08B9" w:rsidP="00A179C0">
            <w:pPr>
              <w:rPr>
                <w:rFonts w:asciiTheme="majorBidi" w:hAnsiTheme="majorBidi" w:cstheme="majorBidi"/>
                <w:sz w:val="16"/>
                <w:szCs w:val="16"/>
              </w:rPr>
            </w:pPr>
            <w:r w:rsidRPr="00F82A93">
              <w:rPr>
                <w:rFonts w:asciiTheme="majorBidi" w:hAnsiTheme="majorBidi" w:cstheme="majorBidi"/>
                <w:sz w:val="16"/>
                <w:szCs w:val="16"/>
              </w:rPr>
              <w:t>23-S1-277</w:t>
            </w:r>
          </w:p>
        </w:tc>
        <w:tc>
          <w:tcPr>
            <w:tcW w:w="4396" w:type="dxa"/>
            <w:noWrap/>
            <w:hideMark/>
          </w:tcPr>
          <w:p w14:paraId="03D47790" w14:textId="77777777" w:rsidR="005F08B9" w:rsidRPr="00F82A93" w:rsidRDefault="005F08B9" w:rsidP="00A179C0">
            <w:pPr>
              <w:rPr>
                <w:rFonts w:asciiTheme="majorBidi" w:hAnsiTheme="majorBidi" w:cstheme="majorBidi"/>
                <w:sz w:val="16"/>
                <w:szCs w:val="16"/>
              </w:rPr>
            </w:pPr>
            <w:r w:rsidRPr="00F82A93">
              <w:rPr>
                <w:rFonts w:asciiTheme="majorBidi" w:hAnsiTheme="majorBidi" w:cstheme="majorBidi"/>
                <w:sz w:val="16"/>
                <w:szCs w:val="16"/>
              </w:rPr>
              <w:t>Atnaujinimo (modernizavimo) projekto parengimo ir projekto vykdymo priežiūros paslaugos</w:t>
            </w:r>
          </w:p>
        </w:tc>
        <w:tc>
          <w:tcPr>
            <w:tcW w:w="1134" w:type="dxa"/>
            <w:noWrap/>
            <w:hideMark/>
          </w:tcPr>
          <w:p w14:paraId="08FB935A" w14:textId="77777777" w:rsidR="005F08B9" w:rsidRPr="00F82A93" w:rsidRDefault="005F08B9" w:rsidP="00A179C0">
            <w:pPr>
              <w:rPr>
                <w:rFonts w:asciiTheme="majorBidi" w:hAnsiTheme="majorBidi" w:cstheme="majorBidi"/>
                <w:sz w:val="16"/>
                <w:szCs w:val="16"/>
              </w:rPr>
            </w:pPr>
            <w:r w:rsidRPr="00F82A93">
              <w:rPr>
                <w:rFonts w:asciiTheme="majorBidi" w:hAnsiTheme="majorBidi" w:cstheme="majorBidi"/>
                <w:sz w:val="16"/>
                <w:szCs w:val="16"/>
              </w:rPr>
              <w:t>2025-02-28</w:t>
            </w:r>
          </w:p>
        </w:tc>
        <w:tc>
          <w:tcPr>
            <w:tcW w:w="1134" w:type="dxa"/>
            <w:noWrap/>
            <w:hideMark/>
          </w:tcPr>
          <w:p w14:paraId="36509479" w14:textId="77777777" w:rsidR="005F08B9" w:rsidRPr="00F82A93" w:rsidRDefault="005F08B9" w:rsidP="00A179C0">
            <w:pPr>
              <w:rPr>
                <w:rFonts w:asciiTheme="majorBidi" w:hAnsiTheme="majorBidi" w:cstheme="majorBidi"/>
                <w:sz w:val="16"/>
                <w:szCs w:val="16"/>
              </w:rPr>
            </w:pPr>
            <w:r w:rsidRPr="00F82A93">
              <w:rPr>
                <w:rFonts w:asciiTheme="majorBidi" w:hAnsiTheme="majorBidi" w:cstheme="majorBidi"/>
                <w:sz w:val="16"/>
                <w:szCs w:val="16"/>
              </w:rPr>
              <w:t>2024-11-30</w:t>
            </w:r>
          </w:p>
        </w:tc>
        <w:tc>
          <w:tcPr>
            <w:tcW w:w="850" w:type="dxa"/>
            <w:noWrap/>
            <w:hideMark/>
          </w:tcPr>
          <w:p w14:paraId="4C5CC950" w14:textId="77777777" w:rsidR="005F08B9" w:rsidRPr="00F82A93" w:rsidRDefault="005F08B9" w:rsidP="00A179C0">
            <w:pPr>
              <w:rPr>
                <w:rFonts w:asciiTheme="majorBidi" w:hAnsiTheme="majorBidi" w:cstheme="majorBidi"/>
                <w:sz w:val="16"/>
                <w:szCs w:val="16"/>
              </w:rPr>
            </w:pPr>
            <w:r w:rsidRPr="00F82A93">
              <w:rPr>
                <w:rFonts w:asciiTheme="majorBidi" w:hAnsiTheme="majorBidi" w:cstheme="majorBidi"/>
                <w:sz w:val="16"/>
                <w:szCs w:val="16"/>
              </w:rPr>
              <w:t>4650</w:t>
            </w:r>
          </w:p>
        </w:tc>
        <w:tc>
          <w:tcPr>
            <w:tcW w:w="1128" w:type="dxa"/>
            <w:noWrap/>
            <w:hideMark/>
          </w:tcPr>
          <w:p w14:paraId="1EA3D65C" w14:textId="77777777" w:rsidR="005F08B9" w:rsidRPr="00F82A93" w:rsidRDefault="005F08B9" w:rsidP="00A179C0">
            <w:pPr>
              <w:rPr>
                <w:rFonts w:asciiTheme="majorBidi" w:hAnsiTheme="majorBidi" w:cstheme="majorBidi"/>
                <w:sz w:val="16"/>
                <w:szCs w:val="16"/>
              </w:rPr>
            </w:pPr>
            <w:r w:rsidRPr="00F82A93">
              <w:rPr>
                <w:rFonts w:asciiTheme="majorBidi" w:hAnsiTheme="majorBidi" w:cstheme="majorBidi"/>
                <w:sz w:val="16"/>
                <w:szCs w:val="16"/>
              </w:rPr>
              <w:t>56265</w:t>
            </w:r>
          </w:p>
        </w:tc>
      </w:tr>
      <w:tr w:rsidR="005F08B9" w:rsidRPr="00F82A93" w14:paraId="56178BA9" w14:textId="77777777" w:rsidTr="00A179C0">
        <w:trPr>
          <w:trHeight w:val="290"/>
        </w:trPr>
        <w:tc>
          <w:tcPr>
            <w:tcW w:w="986" w:type="dxa"/>
            <w:noWrap/>
            <w:hideMark/>
          </w:tcPr>
          <w:p w14:paraId="11D42457" w14:textId="77777777" w:rsidR="005F08B9" w:rsidRPr="00F82A93" w:rsidRDefault="005F08B9" w:rsidP="00A179C0">
            <w:pPr>
              <w:rPr>
                <w:rFonts w:asciiTheme="majorBidi" w:hAnsiTheme="majorBidi" w:cstheme="majorBidi"/>
                <w:sz w:val="16"/>
                <w:szCs w:val="16"/>
              </w:rPr>
            </w:pPr>
            <w:r w:rsidRPr="00F82A93">
              <w:rPr>
                <w:rFonts w:asciiTheme="majorBidi" w:hAnsiTheme="majorBidi" w:cstheme="majorBidi"/>
                <w:sz w:val="16"/>
                <w:szCs w:val="16"/>
              </w:rPr>
              <w:t>21-S1-1261</w:t>
            </w:r>
          </w:p>
        </w:tc>
        <w:tc>
          <w:tcPr>
            <w:tcW w:w="4396" w:type="dxa"/>
            <w:noWrap/>
            <w:hideMark/>
          </w:tcPr>
          <w:p w14:paraId="1282D01C" w14:textId="77777777" w:rsidR="005F08B9" w:rsidRPr="00F82A93" w:rsidRDefault="005F08B9" w:rsidP="00A179C0">
            <w:pPr>
              <w:rPr>
                <w:rFonts w:asciiTheme="majorBidi" w:hAnsiTheme="majorBidi" w:cstheme="majorBidi"/>
                <w:sz w:val="16"/>
                <w:szCs w:val="16"/>
              </w:rPr>
            </w:pPr>
            <w:r w:rsidRPr="00F82A93">
              <w:rPr>
                <w:rFonts w:asciiTheme="majorBidi" w:hAnsiTheme="majorBidi" w:cstheme="majorBidi"/>
                <w:sz w:val="16"/>
                <w:szCs w:val="16"/>
              </w:rPr>
              <w:t>Pastato esančio Kęstučio g.2, Šilutėje modernizavimo projektavimo paslaugų ir projekto vykdymo priežiūros įgyvendinimas</w:t>
            </w:r>
          </w:p>
        </w:tc>
        <w:tc>
          <w:tcPr>
            <w:tcW w:w="1134" w:type="dxa"/>
            <w:noWrap/>
            <w:hideMark/>
          </w:tcPr>
          <w:p w14:paraId="3F7685FB" w14:textId="77777777" w:rsidR="005F08B9" w:rsidRPr="00F82A93" w:rsidRDefault="005F08B9" w:rsidP="00A179C0">
            <w:pPr>
              <w:rPr>
                <w:rFonts w:asciiTheme="majorBidi" w:hAnsiTheme="majorBidi" w:cstheme="majorBidi"/>
                <w:sz w:val="16"/>
                <w:szCs w:val="16"/>
              </w:rPr>
            </w:pPr>
            <w:r w:rsidRPr="00F82A93">
              <w:rPr>
                <w:rFonts w:asciiTheme="majorBidi" w:hAnsiTheme="majorBidi" w:cstheme="majorBidi"/>
                <w:sz w:val="16"/>
                <w:szCs w:val="16"/>
              </w:rPr>
              <w:t>2024-09-27</w:t>
            </w:r>
          </w:p>
        </w:tc>
        <w:tc>
          <w:tcPr>
            <w:tcW w:w="1134" w:type="dxa"/>
            <w:noWrap/>
            <w:hideMark/>
          </w:tcPr>
          <w:p w14:paraId="40FED6C9" w14:textId="77777777" w:rsidR="005F08B9" w:rsidRPr="00F82A93" w:rsidRDefault="005F08B9" w:rsidP="00A179C0">
            <w:pPr>
              <w:rPr>
                <w:rFonts w:asciiTheme="majorBidi" w:hAnsiTheme="majorBidi" w:cstheme="majorBidi"/>
                <w:sz w:val="16"/>
                <w:szCs w:val="16"/>
              </w:rPr>
            </w:pPr>
            <w:r w:rsidRPr="00F82A93">
              <w:rPr>
                <w:rFonts w:asciiTheme="majorBidi" w:hAnsiTheme="majorBidi" w:cstheme="majorBidi"/>
                <w:sz w:val="16"/>
                <w:szCs w:val="16"/>
              </w:rPr>
              <w:t>2024-12-03</w:t>
            </w:r>
          </w:p>
        </w:tc>
        <w:tc>
          <w:tcPr>
            <w:tcW w:w="850" w:type="dxa"/>
            <w:noWrap/>
            <w:hideMark/>
          </w:tcPr>
          <w:p w14:paraId="0B82A661" w14:textId="77777777" w:rsidR="005F08B9" w:rsidRPr="00F82A93" w:rsidRDefault="005F08B9" w:rsidP="00A179C0">
            <w:pPr>
              <w:rPr>
                <w:rFonts w:asciiTheme="majorBidi" w:hAnsiTheme="majorBidi" w:cstheme="majorBidi"/>
                <w:sz w:val="16"/>
                <w:szCs w:val="16"/>
              </w:rPr>
            </w:pPr>
            <w:r w:rsidRPr="00F82A93">
              <w:rPr>
                <w:rFonts w:asciiTheme="majorBidi" w:hAnsiTheme="majorBidi" w:cstheme="majorBidi"/>
                <w:sz w:val="16"/>
                <w:szCs w:val="16"/>
              </w:rPr>
              <w:t>6292,12</w:t>
            </w:r>
          </w:p>
        </w:tc>
        <w:tc>
          <w:tcPr>
            <w:tcW w:w="1128" w:type="dxa"/>
            <w:noWrap/>
            <w:hideMark/>
          </w:tcPr>
          <w:p w14:paraId="2E35840C" w14:textId="77777777" w:rsidR="005F08B9" w:rsidRPr="00F82A93" w:rsidRDefault="005F08B9" w:rsidP="00A179C0">
            <w:pPr>
              <w:rPr>
                <w:rFonts w:asciiTheme="majorBidi" w:hAnsiTheme="majorBidi" w:cstheme="majorBidi"/>
                <w:sz w:val="16"/>
                <w:szCs w:val="16"/>
              </w:rPr>
            </w:pPr>
            <w:r w:rsidRPr="00F82A93">
              <w:rPr>
                <w:rFonts w:asciiTheme="majorBidi" w:hAnsiTheme="majorBidi" w:cstheme="majorBidi"/>
                <w:sz w:val="16"/>
                <w:szCs w:val="16"/>
              </w:rPr>
              <w:t>62921,21</w:t>
            </w:r>
          </w:p>
        </w:tc>
      </w:tr>
      <w:tr w:rsidR="005F08B9" w:rsidRPr="00F82A93" w14:paraId="035AEF67" w14:textId="77777777" w:rsidTr="00A179C0">
        <w:trPr>
          <w:trHeight w:val="290"/>
        </w:trPr>
        <w:tc>
          <w:tcPr>
            <w:tcW w:w="986" w:type="dxa"/>
            <w:noWrap/>
            <w:hideMark/>
          </w:tcPr>
          <w:p w14:paraId="6055C149" w14:textId="77777777" w:rsidR="005F08B9" w:rsidRPr="00F82A93" w:rsidRDefault="005F08B9" w:rsidP="00A179C0">
            <w:pPr>
              <w:rPr>
                <w:rFonts w:asciiTheme="majorBidi" w:hAnsiTheme="majorBidi" w:cstheme="majorBidi"/>
                <w:sz w:val="16"/>
                <w:szCs w:val="16"/>
              </w:rPr>
            </w:pPr>
            <w:r w:rsidRPr="00F82A93">
              <w:rPr>
                <w:rFonts w:asciiTheme="majorBidi" w:hAnsiTheme="majorBidi" w:cstheme="majorBidi"/>
                <w:sz w:val="16"/>
                <w:szCs w:val="16"/>
              </w:rPr>
              <w:t>23-S1-242</w:t>
            </w:r>
          </w:p>
        </w:tc>
        <w:tc>
          <w:tcPr>
            <w:tcW w:w="4396" w:type="dxa"/>
            <w:noWrap/>
            <w:hideMark/>
          </w:tcPr>
          <w:p w14:paraId="54E50721" w14:textId="77777777" w:rsidR="005F08B9" w:rsidRPr="00F82A93" w:rsidRDefault="005F08B9" w:rsidP="00A179C0">
            <w:pPr>
              <w:rPr>
                <w:rFonts w:asciiTheme="majorBidi" w:hAnsiTheme="majorBidi" w:cstheme="majorBidi"/>
                <w:sz w:val="16"/>
                <w:szCs w:val="16"/>
              </w:rPr>
            </w:pPr>
            <w:r w:rsidRPr="00F82A93">
              <w:rPr>
                <w:rFonts w:asciiTheme="majorBidi" w:hAnsiTheme="majorBidi" w:cstheme="majorBidi"/>
                <w:sz w:val="16"/>
                <w:szCs w:val="16"/>
              </w:rPr>
              <w:t>Saulės elektrinės projektavimas ir įrengimas</w:t>
            </w:r>
          </w:p>
        </w:tc>
        <w:tc>
          <w:tcPr>
            <w:tcW w:w="1134" w:type="dxa"/>
            <w:noWrap/>
            <w:hideMark/>
          </w:tcPr>
          <w:p w14:paraId="714F4F42" w14:textId="77777777" w:rsidR="005F08B9" w:rsidRPr="00F82A93" w:rsidRDefault="005F08B9" w:rsidP="00A179C0">
            <w:pPr>
              <w:rPr>
                <w:rFonts w:asciiTheme="majorBidi" w:hAnsiTheme="majorBidi" w:cstheme="majorBidi"/>
                <w:sz w:val="16"/>
                <w:szCs w:val="16"/>
              </w:rPr>
            </w:pPr>
            <w:r w:rsidRPr="00F82A93">
              <w:rPr>
                <w:rFonts w:asciiTheme="majorBidi" w:hAnsiTheme="majorBidi" w:cstheme="majorBidi"/>
                <w:sz w:val="16"/>
                <w:szCs w:val="16"/>
              </w:rPr>
              <w:t>2030-01-14</w:t>
            </w:r>
          </w:p>
        </w:tc>
        <w:tc>
          <w:tcPr>
            <w:tcW w:w="1134" w:type="dxa"/>
            <w:noWrap/>
            <w:hideMark/>
          </w:tcPr>
          <w:p w14:paraId="0AA081C1" w14:textId="77777777" w:rsidR="005F08B9" w:rsidRPr="00F82A93" w:rsidRDefault="005F08B9" w:rsidP="00A179C0">
            <w:pPr>
              <w:rPr>
                <w:rFonts w:asciiTheme="majorBidi" w:hAnsiTheme="majorBidi" w:cstheme="majorBidi"/>
                <w:sz w:val="16"/>
                <w:szCs w:val="16"/>
              </w:rPr>
            </w:pPr>
            <w:r w:rsidRPr="00F82A93">
              <w:rPr>
                <w:rFonts w:asciiTheme="majorBidi" w:hAnsiTheme="majorBidi" w:cstheme="majorBidi"/>
                <w:sz w:val="16"/>
                <w:szCs w:val="16"/>
              </w:rPr>
              <w:t>2024-12-12</w:t>
            </w:r>
          </w:p>
        </w:tc>
        <w:tc>
          <w:tcPr>
            <w:tcW w:w="850" w:type="dxa"/>
            <w:noWrap/>
            <w:hideMark/>
          </w:tcPr>
          <w:p w14:paraId="4A9E7672" w14:textId="77777777" w:rsidR="005F08B9" w:rsidRPr="00F82A93" w:rsidRDefault="005F08B9" w:rsidP="00A179C0">
            <w:pPr>
              <w:rPr>
                <w:rFonts w:asciiTheme="majorBidi" w:hAnsiTheme="majorBidi" w:cstheme="majorBidi"/>
                <w:sz w:val="16"/>
                <w:szCs w:val="16"/>
              </w:rPr>
            </w:pPr>
            <w:r w:rsidRPr="00F82A93">
              <w:rPr>
                <w:rFonts w:asciiTheme="majorBidi" w:hAnsiTheme="majorBidi" w:cstheme="majorBidi"/>
                <w:sz w:val="16"/>
                <w:szCs w:val="16"/>
              </w:rPr>
              <w:t>1780</w:t>
            </w:r>
          </w:p>
        </w:tc>
        <w:tc>
          <w:tcPr>
            <w:tcW w:w="1128" w:type="dxa"/>
            <w:noWrap/>
            <w:hideMark/>
          </w:tcPr>
          <w:p w14:paraId="3C32C922" w14:textId="77777777" w:rsidR="005F08B9" w:rsidRPr="00F82A93" w:rsidRDefault="005F08B9" w:rsidP="00A179C0">
            <w:pPr>
              <w:rPr>
                <w:rFonts w:asciiTheme="majorBidi" w:hAnsiTheme="majorBidi" w:cstheme="majorBidi"/>
                <w:sz w:val="16"/>
                <w:szCs w:val="16"/>
              </w:rPr>
            </w:pPr>
            <w:r w:rsidRPr="00F82A93">
              <w:rPr>
                <w:rFonts w:asciiTheme="majorBidi" w:hAnsiTheme="majorBidi" w:cstheme="majorBidi"/>
                <w:sz w:val="16"/>
                <w:szCs w:val="16"/>
              </w:rPr>
              <w:t>42893,29</w:t>
            </w:r>
          </w:p>
        </w:tc>
      </w:tr>
      <w:tr w:rsidR="005F08B9" w:rsidRPr="00F82A93" w14:paraId="25D0536D" w14:textId="77777777" w:rsidTr="00A179C0">
        <w:trPr>
          <w:trHeight w:val="290"/>
        </w:trPr>
        <w:tc>
          <w:tcPr>
            <w:tcW w:w="986" w:type="dxa"/>
            <w:noWrap/>
            <w:hideMark/>
          </w:tcPr>
          <w:p w14:paraId="529EF1EC" w14:textId="77777777" w:rsidR="005F08B9" w:rsidRPr="00F82A93" w:rsidRDefault="005F08B9" w:rsidP="00A179C0">
            <w:pPr>
              <w:rPr>
                <w:rFonts w:asciiTheme="majorBidi" w:hAnsiTheme="majorBidi" w:cstheme="majorBidi"/>
                <w:sz w:val="16"/>
                <w:szCs w:val="16"/>
              </w:rPr>
            </w:pPr>
            <w:r w:rsidRPr="00F82A93">
              <w:rPr>
                <w:rFonts w:asciiTheme="majorBidi" w:hAnsiTheme="majorBidi" w:cstheme="majorBidi"/>
                <w:sz w:val="16"/>
                <w:szCs w:val="16"/>
              </w:rPr>
              <w:t>22-S1-1258</w:t>
            </w:r>
          </w:p>
        </w:tc>
        <w:tc>
          <w:tcPr>
            <w:tcW w:w="4396" w:type="dxa"/>
            <w:noWrap/>
            <w:hideMark/>
          </w:tcPr>
          <w:p w14:paraId="36B3CAB8" w14:textId="77777777" w:rsidR="005F08B9" w:rsidRPr="00F82A93" w:rsidRDefault="005F08B9" w:rsidP="00A179C0">
            <w:pPr>
              <w:rPr>
                <w:rFonts w:asciiTheme="majorBidi" w:hAnsiTheme="majorBidi" w:cstheme="majorBidi"/>
                <w:sz w:val="16"/>
                <w:szCs w:val="16"/>
              </w:rPr>
            </w:pPr>
            <w:r w:rsidRPr="00F82A93">
              <w:rPr>
                <w:rFonts w:asciiTheme="majorBidi" w:hAnsiTheme="majorBidi" w:cstheme="majorBidi"/>
                <w:sz w:val="16"/>
                <w:szCs w:val="16"/>
              </w:rPr>
              <w:t>Rangos sutartis A. Juozapavičiaus pr. 57, Kaunas, atnaujinimo (modernizavimo ir remonto) statybos darbų pirkimas</w:t>
            </w:r>
          </w:p>
        </w:tc>
        <w:tc>
          <w:tcPr>
            <w:tcW w:w="1134" w:type="dxa"/>
            <w:noWrap/>
            <w:hideMark/>
          </w:tcPr>
          <w:p w14:paraId="2A74C279" w14:textId="77777777" w:rsidR="005F08B9" w:rsidRPr="00F82A93" w:rsidRDefault="005F08B9" w:rsidP="00A179C0">
            <w:pPr>
              <w:rPr>
                <w:rFonts w:asciiTheme="majorBidi" w:hAnsiTheme="majorBidi" w:cstheme="majorBidi"/>
                <w:sz w:val="16"/>
                <w:szCs w:val="16"/>
              </w:rPr>
            </w:pPr>
            <w:r w:rsidRPr="00F82A93">
              <w:rPr>
                <w:rFonts w:asciiTheme="majorBidi" w:hAnsiTheme="majorBidi" w:cstheme="majorBidi"/>
                <w:sz w:val="16"/>
                <w:szCs w:val="16"/>
              </w:rPr>
              <w:t>2024-11-20</w:t>
            </w:r>
          </w:p>
        </w:tc>
        <w:tc>
          <w:tcPr>
            <w:tcW w:w="1134" w:type="dxa"/>
            <w:noWrap/>
            <w:hideMark/>
          </w:tcPr>
          <w:p w14:paraId="5C555653" w14:textId="77777777" w:rsidR="005F08B9" w:rsidRPr="00F82A93" w:rsidRDefault="005F08B9" w:rsidP="00A179C0">
            <w:pPr>
              <w:rPr>
                <w:rFonts w:asciiTheme="majorBidi" w:hAnsiTheme="majorBidi" w:cstheme="majorBidi"/>
                <w:sz w:val="16"/>
                <w:szCs w:val="16"/>
              </w:rPr>
            </w:pPr>
            <w:r w:rsidRPr="00F82A93">
              <w:rPr>
                <w:rFonts w:asciiTheme="majorBidi" w:hAnsiTheme="majorBidi" w:cstheme="majorBidi"/>
                <w:sz w:val="16"/>
                <w:szCs w:val="16"/>
              </w:rPr>
              <w:t>2024-12-15</w:t>
            </w:r>
          </w:p>
        </w:tc>
        <w:tc>
          <w:tcPr>
            <w:tcW w:w="850" w:type="dxa"/>
            <w:noWrap/>
            <w:hideMark/>
          </w:tcPr>
          <w:p w14:paraId="50DD9B19" w14:textId="77777777" w:rsidR="005F08B9" w:rsidRPr="00F82A93" w:rsidRDefault="005F08B9" w:rsidP="00A179C0">
            <w:pPr>
              <w:rPr>
                <w:rFonts w:asciiTheme="majorBidi" w:hAnsiTheme="majorBidi" w:cstheme="majorBidi"/>
                <w:sz w:val="16"/>
                <w:szCs w:val="16"/>
              </w:rPr>
            </w:pPr>
            <w:r w:rsidRPr="00F82A93">
              <w:rPr>
                <w:rFonts w:asciiTheme="majorBidi" w:hAnsiTheme="majorBidi" w:cstheme="majorBidi"/>
                <w:sz w:val="16"/>
                <w:szCs w:val="16"/>
              </w:rPr>
              <w:t>304758,6</w:t>
            </w:r>
          </w:p>
        </w:tc>
        <w:tc>
          <w:tcPr>
            <w:tcW w:w="1128" w:type="dxa"/>
            <w:noWrap/>
            <w:hideMark/>
          </w:tcPr>
          <w:p w14:paraId="6093EBF7" w14:textId="77777777" w:rsidR="005F08B9" w:rsidRPr="00F82A93" w:rsidRDefault="005F08B9" w:rsidP="00A179C0">
            <w:pPr>
              <w:rPr>
                <w:rFonts w:asciiTheme="majorBidi" w:hAnsiTheme="majorBidi" w:cstheme="majorBidi"/>
                <w:sz w:val="16"/>
                <w:szCs w:val="16"/>
              </w:rPr>
            </w:pPr>
            <w:r w:rsidRPr="00F82A93">
              <w:rPr>
                <w:rFonts w:asciiTheme="majorBidi" w:hAnsiTheme="majorBidi" w:cstheme="majorBidi"/>
                <w:sz w:val="16"/>
                <w:szCs w:val="16"/>
              </w:rPr>
              <w:t>3730710</w:t>
            </w:r>
          </w:p>
        </w:tc>
      </w:tr>
    </w:tbl>
    <w:p w14:paraId="441D3744" w14:textId="77777777" w:rsidR="005F08B9" w:rsidRDefault="005F08B9" w:rsidP="003A1E86">
      <w:pPr>
        <w:ind w:firstLine="1298"/>
        <w:jc w:val="both"/>
        <w:rPr>
          <w:rFonts w:asciiTheme="majorBidi" w:hAnsiTheme="majorBidi" w:cstheme="majorBidi"/>
        </w:rPr>
      </w:pPr>
    </w:p>
    <w:p w14:paraId="2FDE0E29" w14:textId="77777777" w:rsidR="005F08B9" w:rsidRDefault="005F08B9" w:rsidP="002964C8">
      <w:pPr>
        <w:ind w:firstLine="1298"/>
        <w:jc w:val="both"/>
        <w:rPr>
          <w:rFonts w:asciiTheme="majorBidi" w:hAnsiTheme="majorBidi" w:cstheme="majorBidi"/>
        </w:rPr>
      </w:pPr>
      <w:r w:rsidRPr="008F1132">
        <w:rPr>
          <w:rFonts w:asciiTheme="majorBidi" w:hAnsiTheme="majorBidi" w:cstheme="majorBidi"/>
        </w:rPr>
        <w:t>Sutartyse numatyt</w:t>
      </w:r>
      <w:r>
        <w:rPr>
          <w:rFonts w:asciiTheme="majorBidi" w:hAnsiTheme="majorBidi" w:cstheme="majorBidi"/>
        </w:rPr>
        <w:t>ų</w:t>
      </w:r>
      <w:r w:rsidRPr="008F1132">
        <w:rPr>
          <w:rFonts w:asciiTheme="majorBidi" w:hAnsiTheme="majorBidi" w:cstheme="majorBidi"/>
        </w:rPr>
        <w:t xml:space="preserve"> </w:t>
      </w:r>
      <w:r>
        <w:rPr>
          <w:rFonts w:asciiTheme="majorBidi" w:hAnsiTheme="majorBidi" w:cstheme="majorBidi"/>
        </w:rPr>
        <w:t xml:space="preserve">sąlygų pavyzdžiai: </w:t>
      </w:r>
    </w:p>
    <w:p w14:paraId="74D2084B" w14:textId="77777777" w:rsidR="005F08B9" w:rsidRDefault="005F08B9" w:rsidP="002964C8">
      <w:pPr>
        <w:ind w:firstLine="1298"/>
        <w:jc w:val="both"/>
        <w:rPr>
          <w:i/>
          <w:iCs/>
        </w:rPr>
      </w:pPr>
      <w:r>
        <w:rPr>
          <w:i/>
          <w:iCs/>
        </w:rPr>
        <w:lastRenderedPageBreak/>
        <w:t>„</w:t>
      </w:r>
      <w:r w:rsidRPr="009A2F49">
        <w:rPr>
          <w:i/>
          <w:iCs/>
        </w:rPr>
        <w:t>Rangovas privalo pateikti Užsakovui garantinių įsipareigojimų įvykdymo užtikrinimą, atitinkantį žemiau šiame straipsnyje nurodytas sąlygas (Garantinių įsipareigojimų įvykdymo užtikrinimas), ne vėliau kaip (i) kartu su prašymu Užsakovui priimti Darbus arba (ii) prieš 7 dienas iki Statybos užbaigimo, priklausomai nuo to, kas įvyksta pirmia</w:t>
      </w:r>
      <w:r>
        <w:rPr>
          <w:i/>
          <w:iCs/>
        </w:rPr>
        <w:t>u“</w:t>
      </w:r>
    </w:p>
    <w:p w14:paraId="38951770" w14:textId="77777777" w:rsidR="005F08B9" w:rsidRPr="009A2F49" w:rsidRDefault="005F08B9" w:rsidP="002964C8">
      <w:pPr>
        <w:ind w:firstLine="1298"/>
        <w:rPr>
          <w:i/>
          <w:iCs/>
        </w:rPr>
      </w:pPr>
      <w:r>
        <w:rPr>
          <w:i/>
          <w:iCs/>
        </w:rPr>
        <w:t>„</w:t>
      </w:r>
      <w:r w:rsidRPr="0056410A">
        <w:rPr>
          <w:i/>
          <w:iCs/>
        </w:rPr>
        <w:t>Sutarties užtikrinimas turi įsigalioti nuo išdavimo dienos ir galioti 30 (trisdešimt) dienų ilgiau už Sutartyje</w:t>
      </w:r>
      <w:r>
        <w:rPr>
          <w:i/>
          <w:iCs/>
        </w:rPr>
        <w:t xml:space="preserve"> </w:t>
      </w:r>
      <w:r w:rsidRPr="0056410A">
        <w:rPr>
          <w:i/>
          <w:iCs/>
        </w:rPr>
        <w:t>numatytą Paslaugų atlikimo termino pabaigą (po Galutinės ataskaitos ir visų ją lydinčių dokumentų</w:t>
      </w:r>
      <w:r>
        <w:rPr>
          <w:i/>
          <w:iCs/>
        </w:rPr>
        <w:t xml:space="preserve"> </w:t>
      </w:r>
      <w:r w:rsidRPr="0056410A">
        <w:rPr>
          <w:i/>
          <w:iCs/>
        </w:rPr>
        <w:t>patvirtinimo). Jeigu pratęsiamas Paslaugų atlikimo terminas, Tiekėjas savo sąskaita turi pratęsti Sutarties</w:t>
      </w:r>
      <w:r>
        <w:rPr>
          <w:i/>
          <w:iCs/>
        </w:rPr>
        <w:t xml:space="preserve"> </w:t>
      </w:r>
      <w:r w:rsidRPr="0056410A">
        <w:rPr>
          <w:i/>
          <w:iCs/>
        </w:rPr>
        <w:t>užtikrinimo galiojimą Užsakovo nurodytam terminui</w:t>
      </w:r>
      <w:r>
        <w:rPr>
          <w:i/>
          <w:iCs/>
        </w:rPr>
        <w:t>“</w:t>
      </w:r>
    </w:p>
    <w:p w14:paraId="4AB0F6A2" w14:textId="77777777" w:rsidR="005F08B9" w:rsidRDefault="005F08B9" w:rsidP="002964C8">
      <w:pPr>
        <w:ind w:firstLine="1298"/>
        <w:jc w:val="both"/>
      </w:pPr>
      <w:r w:rsidRPr="00095502">
        <w:t>Už CAD ar SUD</w:t>
      </w:r>
      <w:r>
        <w:t xml:space="preserve"> galiojimo priežiūrą yra atsakingi sutartyse nurodyti Turto banko darbuotojai. Išanalizavus CAD ir SUD ataskaitose pateiktus už sutarčių vykdymo priežiūrą komentarus nustatyta, kad pasitaiko atveju kuomet jie yra formalūs ir nepagrįsti:</w:t>
      </w:r>
    </w:p>
    <w:p w14:paraId="01F2819E" w14:textId="77777777" w:rsidR="005F08B9" w:rsidRPr="001D1A67" w:rsidRDefault="005F08B9" w:rsidP="002964C8">
      <w:pPr>
        <w:ind w:firstLine="1298"/>
        <w:jc w:val="both"/>
      </w:pPr>
      <w:r>
        <w:t>,,</w:t>
      </w:r>
      <w:r w:rsidRPr="00C81CF8">
        <w:t xml:space="preserve"> </w:t>
      </w:r>
      <w:r w:rsidRPr="002B6481">
        <w:rPr>
          <w:i/>
          <w:iCs/>
        </w:rPr>
        <w:t>Pakartotinai informuotas Tiekėjas apie CAD pratęsimą. Gavus pratęstą CAD, bus pateikta el. paštu</w:t>
      </w:r>
      <w:r>
        <w:t>“, „</w:t>
      </w:r>
      <w:r w:rsidRPr="002B6481">
        <w:rPr>
          <w:i/>
          <w:iCs/>
        </w:rPr>
        <w:t>Esant poreikiui bus pratęstas CAD</w:t>
      </w:r>
      <w:r>
        <w:t>“,</w:t>
      </w:r>
      <w:r w:rsidRPr="008E35CE">
        <w:t xml:space="preserve"> </w:t>
      </w:r>
      <w:r>
        <w:t>,,</w:t>
      </w:r>
      <w:r w:rsidRPr="002B6481">
        <w:rPr>
          <w:i/>
          <w:iCs/>
        </w:rPr>
        <w:t>Daugiau CAD nebus tęsiamas, statybos darbai atlikti, paslaugos suteiktos, sutarties dar neuždarykime</w:t>
      </w:r>
      <w:r>
        <w:t>“, „</w:t>
      </w:r>
      <w:r w:rsidRPr="002B6481">
        <w:rPr>
          <w:i/>
          <w:iCs/>
        </w:rPr>
        <w:t>Projektuotojas teigia, kad projekto vykdymo priežiūros nevykdo</w:t>
      </w:r>
      <w:r>
        <w:t>“, ,,</w:t>
      </w:r>
      <w:r w:rsidRPr="002B6481">
        <w:rPr>
          <w:i/>
          <w:iCs/>
        </w:rPr>
        <w:t>Tiekėjas pratęs SUD kai atsiras paslaugų teikimo poreikis</w:t>
      </w:r>
      <w:r>
        <w:t>“</w:t>
      </w:r>
    </w:p>
    <w:p w14:paraId="4F6338EE" w14:textId="77777777" w:rsidR="005F08B9" w:rsidRDefault="005F08B9" w:rsidP="00873FA0">
      <w:pPr>
        <w:jc w:val="both"/>
        <w:rPr>
          <w:b/>
          <w:spacing w:val="-2"/>
        </w:rPr>
      </w:pPr>
    </w:p>
    <w:p w14:paraId="2C8BD496" w14:textId="77777777" w:rsidR="005F08B9" w:rsidRPr="00EA7258" w:rsidRDefault="005F08B9" w:rsidP="002964C8">
      <w:pPr>
        <w:ind w:firstLine="1298"/>
        <w:jc w:val="both"/>
        <w:rPr>
          <w:b/>
          <w:spacing w:val="-2"/>
        </w:rPr>
      </w:pPr>
      <w:r w:rsidRPr="00EA7258">
        <w:rPr>
          <w:b/>
          <w:spacing w:val="-2"/>
        </w:rPr>
        <w:t>Atsižvelgiant į tai, kas išdėstyta, galima teigti, kad egzistuoja šie rizikos veiksniai:</w:t>
      </w:r>
    </w:p>
    <w:p w14:paraId="0B674BF9" w14:textId="77777777" w:rsidR="005F08B9" w:rsidRDefault="005F08B9" w:rsidP="005F08B9">
      <w:pPr>
        <w:pStyle w:val="Sraopastraipa"/>
        <w:numPr>
          <w:ilvl w:val="0"/>
          <w:numId w:val="38"/>
        </w:numPr>
        <w:spacing w:after="0" w:line="240" w:lineRule="auto"/>
        <w:ind w:left="0" w:firstLine="1298"/>
        <w:jc w:val="both"/>
        <w:rPr>
          <w:bCs/>
          <w:spacing w:val="-2"/>
        </w:rPr>
      </w:pPr>
      <w:r>
        <w:t>Dėl CAD ar SUD pasibaigimo Turto bankas gali patirti finansinių nuostolių;</w:t>
      </w:r>
    </w:p>
    <w:p w14:paraId="14DA3BE4" w14:textId="77777777" w:rsidR="005F08B9" w:rsidRDefault="005F08B9" w:rsidP="005F08B9">
      <w:pPr>
        <w:pStyle w:val="Sraopastraipa"/>
        <w:numPr>
          <w:ilvl w:val="0"/>
          <w:numId w:val="38"/>
        </w:numPr>
        <w:spacing w:after="0" w:line="240" w:lineRule="auto"/>
        <w:ind w:left="0" w:firstLine="1298"/>
      </w:pPr>
      <w:r>
        <w:t>Tiekėjų ar rangovų interesas nepatirti papildomų išlaidų susijusių su CAD ir SUD</w:t>
      </w:r>
      <w:r w:rsidRPr="00EA63CC">
        <w:t>;</w:t>
      </w:r>
    </w:p>
    <w:p w14:paraId="133868A8" w14:textId="77777777" w:rsidR="005F08B9" w:rsidRPr="00015417" w:rsidRDefault="005F08B9" w:rsidP="005F08B9">
      <w:pPr>
        <w:pStyle w:val="Sraopastraipa"/>
        <w:numPr>
          <w:ilvl w:val="0"/>
          <w:numId w:val="38"/>
        </w:numPr>
        <w:spacing w:after="0" w:line="240" w:lineRule="auto"/>
        <w:ind w:left="0" w:firstLine="1298"/>
        <w:jc w:val="both"/>
      </w:pPr>
      <w:r w:rsidRPr="00A225EF">
        <w:t>Nepakankam</w:t>
      </w:r>
      <w:r>
        <w:t>a</w:t>
      </w:r>
      <w:r w:rsidRPr="00A225EF">
        <w:t xml:space="preserve"> </w:t>
      </w:r>
      <w:r>
        <w:t>vidaus kontrolė</w:t>
      </w:r>
      <w:r w:rsidRPr="00A225EF">
        <w:t xml:space="preserve"> </w:t>
      </w:r>
      <w:r>
        <w:t xml:space="preserve">užtikrinant, kad būtų laikomasi sutarčių sąlygų bei </w:t>
      </w:r>
      <w:r w:rsidRPr="00A225EF">
        <w:t>priima</w:t>
      </w:r>
      <w:r>
        <w:t>nt</w:t>
      </w:r>
      <w:r w:rsidRPr="00A225EF">
        <w:t xml:space="preserve"> sprendim</w:t>
      </w:r>
      <w:r>
        <w:t xml:space="preserve">us </w:t>
      </w:r>
      <w:r w:rsidRPr="00A225EF">
        <w:t xml:space="preserve">dėl </w:t>
      </w:r>
      <w:r>
        <w:t>baudų taikymo už netinkamą sutarčių vykdymą susijusį su CAD ir SUD prievolėmis.</w:t>
      </w:r>
    </w:p>
    <w:p w14:paraId="7613ABCD" w14:textId="77777777" w:rsidR="005F08B9" w:rsidRPr="006848CF" w:rsidRDefault="005F08B9" w:rsidP="002964C8">
      <w:pPr>
        <w:ind w:firstLine="1298"/>
        <w:jc w:val="both"/>
        <w:rPr>
          <w:bCs/>
          <w:spacing w:val="-2"/>
        </w:rPr>
      </w:pPr>
      <w:r>
        <w:rPr>
          <w:bCs/>
          <w:spacing w:val="-2"/>
        </w:rPr>
        <w:t>Bei identifikuota:</w:t>
      </w:r>
      <w:r w:rsidRPr="006848CF">
        <w:rPr>
          <w:bCs/>
          <w:spacing w:val="-2"/>
        </w:rPr>
        <w:t xml:space="preserve"> </w:t>
      </w:r>
    </w:p>
    <w:p w14:paraId="6BB2CF35" w14:textId="77777777" w:rsidR="005F08B9" w:rsidRPr="00CA0295" w:rsidRDefault="005F08B9" w:rsidP="002964C8">
      <w:pPr>
        <w:ind w:firstLine="1298"/>
        <w:jc w:val="both"/>
        <w:rPr>
          <w:b/>
          <w:bCs/>
          <w:lang w:eastAsia="lt-LT"/>
        </w:rPr>
      </w:pPr>
      <w:r w:rsidRPr="00CA0295">
        <w:rPr>
          <w:b/>
          <w:bCs/>
          <w:lang w:eastAsia="lt-LT"/>
        </w:rPr>
        <w:t>Rizika R</w:t>
      </w:r>
      <w:r>
        <w:rPr>
          <w:b/>
          <w:bCs/>
          <w:vertAlign w:val="subscript"/>
          <w:lang w:eastAsia="lt-LT"/>
        </w:rPr>
        <w:t>2</w:t>
      </w:r>
      <w:r w:rsidRPr="00CA0295">
        <w:rPr>
          <w:b/>
          <w:bCs/>
          <w:lang w:eastAsia="lt-LT"/>
        </w:rPr>
        <w:t xml:space="preserve"> - Galimybė priimti neobjektyvius</w:t>
      </w:r>
      <w:r>
        <w:rPr>
          <w:b/>
          <w:bCs/>
          <w:lang w:eastAsia="lt-LT"/>
        </w:rPr>
        <w:t>, rangovams palankius</w:t>
      </w:r>
      <w:r w:rsidRPr="00CA0295">
        <w:rPr>
          <w:b/>
          <w:bCs/>
          <w:lang w:eastAsia="lt-LT"/>
        </w:rPr>
        <w:t xml:space="preserve"> sprendimus</w:t>
      </w:r>
      <w:r>
        <w:rPr>
          <w:b/>
          <w:bCs/>
          <w:lang w:eastAsia="lt-LT"/>
        </w:rPr>
        <w:t xml:space="preserve"> dėl </w:t>
      </w:r>
      <w:r w:rsidRPr="003F3D3B">
        <w:rPr>
          <w:b/>
          <w:bCs/>
          <w:lang w:eastAsia="lt-LT"/>
        </w:rPr>
        <w:t>netinkam</w:t>
      </w:r>
      <w:r>
        <w:rPr>
          <w:b/>
          <w:bCs/>
          <w:lang w:eastAsia="lt-LT"/>
        </w:rPr>
        <w:t>o</w:t>
      </w:r>
      <w:r w:rsidRPr="003F3D3B">
        <w:rPr>
          <w:b/>
          <w:bCs/>
          <w:lang w:eastAsia="lt-LT"/>
        </w:rPr>
        <w:t xml:space="preserve"> sutarčių vykdym</w:t>
      </w:r>
      <w:r>
        <w:rPr>
          <w:b/>
          <w:bCs/>
          <w:lang w:eastAsia="lt-LT"/>
        </w:rPr>
        <w:t>o priežiūros</w:t>
      </w:r>
      <w:r w:rsidRPr="003F3D3B">
        <w:rPr>
          <w:b/>
          <w:bCs/>
          <w:lang w:eastAsia="lt-LT"/>
        </w:rPr>
        <w:t xml:space="preserve"> susijus</w:t>
      </w:r>
      <w:r>
        <w:rPr>
          <w:b/>
          <w:bCs/>
          <w:lang w:eastAsia="lt-LT"/>
        </w:rPr>
        <w:t>ios</w:t>
      </w:r>
      <w:r w:rsidRPr="003F3D3B">
        <w:rPr>
          <w:b/>
          <w:bCs/>
          <w:lang w:eastAsia="lt-LT"/>
        </w:rPr>
        <w:t xml:space="preserve"> su CAD ir SUD prievolėmis</w:t>
      </w:r>
      <w:r w:rsidRPr="00CA0295">
        <w:rPr>
          <w:b/>
          <w:bCs/>
          <w:lang w:eastAsia="lt-LT"/>
        </w:rPr>
        <w:t>.</w:t>
      </w:r>
    </w:p>
    <w:p w14:paraId="45C40848" w14:textId="77777777" w:rsidR="005F08B9" w:rsidRDefault="005F08B9" w:rsidP="002964C8">
      <w:pPr>
        <w:ind w:firstLine="1298"/>
        <w:jc w:val="both"/>
        <w:rPr>
          <w:bCs/>
          <w:spacing w:val="-2"/>
        </w:rPr>
      </w:pPr>
      <w:r w:rsidRPr="00E10535">
        <w:rPr>
          <w:bCs/>
          <w:spacing w:val="-2"/>
        </w:rPr>
        <w:t>P=3; T=</w:t>
      </w:r>
      <w:r>
        <w:rPr>
          <w:bCs/>
          <w:spacing w:val="-2"/>
        </w:rPr>
        <w:t>1</w:t>
      </w:r>
      <w:r w:rsidRPr="00E10535">
        <w:rPr>
          <w:bCs/>
          <w:spacing w:val="-2"/>
        </w:rPr>
        <w:t>. Rizikos lygis: R=</w:t>
      </w:r>
      <w:proofErr w:type="spellStart"/>
      <w:r w:rsidRPr="00E10535">
        <w:rPr>
          <w:bCs/>
          <w:spacing w:val="-2"/>
        </w:rPr>
        <w:t>TxP</w:t>
      </w:r>
      <w:proofErr w:type="spellEnd"/>
      <w:r w:rsidRPr="00E10535">
        <w:rPr>
          <w:bCs/>
          <w:spacing w:val="-2"/>
        </w:rPr>
        <w:t xml:space="preserve">; </w:t>
      </w:r>
      <w:r w:rsidRPr="00CA0295">
        <w:rPr>
          <w:b/>
          <w:spacing w:val="-2"/>
        </w:rPr>
        <w:t>R</w:t>
      </w:r>
      <w:r>
        <w:rPr>
          <w:b/>
          <w:spacing w:val="-2"/>
          <w:vertAlign w:val="subscript"/>
        </w:rPr>
        <w:t>2</w:t>
      </w:r>
      <w:r w:rsidRPr="00CA0295">
        <w:rPr>
          <w:b/>
          <w:spacing w:val="-2"/>
        </w:rPr>
        <w:t>=</w:t>
      </w:r>
      <w:r>
        <w:rPr>
          <w:b/>
          <w:spacing w:val="-2"/>
        </w:rPr>
        <w:t>3</w:t>
      </w:r>
      <w:r w:rsidRPr="00EC574B">
        <w:rPr>
          <w:bCs/>
          <w:spacing w:val="-2"/>
        </w:rPr>
        <w:tab/>
      </w:r>
    </w:p>
    <w:p w14:paraId="0C7E9EE1" w14:textId="77777777" w:rsidR="005F08B9" w:rsidRDefault="005F08B9" w:rsidP="002964C8">
      <w:pPr>
        <w:ind w:firstLine="1298"/>
        <w:jc w:val="both"/>
        <w:rPr>
          <w:bCs/>
          <w:spacing w:val="-2"/>
        </w:rPr>
      </w:pPr>
      <w:r>
        <w:rPr>
          <w:bCs/>
          <w:spacing w:val="-2"/>
        </w:rPr>
        <w:t>Rizikos R</w:t>
      </w:r>
      <w:r>
        <w:rPr>
          <w:bCs/>
          <w:spacing w:val="-2"/>
          <w:vertAlign w:val="subscript"/>
        </w:rPr>
        <w:t>2</w:t>
      </w:r>
      <w:r>
        <w:rPr>
          <w:bCs/>
          <w:spacing w:val="-2"/>
        </w:rPr>
        <w:t xml:space="preserve"> galimo (hipotetinio) lygio poveikis (P</w:t>
      </w:r>
      <w:r>
        <w:rPr>
          <w:bCs/>
          <w:spacing w:val="-2"/>
          <w:vertAlign w:val="subscript"/>
        </w:rPr>
        <w:t>2</w:t>
      </w:r>
      <w:r>
        <w:rPr>
          <w:bCs/>
          <w:spacing w:val="-2"/>
        </w:rPr>
        <w:t xml:space="preserve">) -  </w:t>
      </w:r>
      <w:r w:rsidRPr="00A648DC">
        <w:rPr>
          <w:bCs/>
          <w:spacing w:val="-2"/>
        </w:rPr>
        <w:t>vertinama 3 lygiu (pastebimas lygis), nes atlikus pateiktų poveikio kriterijų, kurie nusako konkrečios rizikos sukeltą arba galimą (hipotetinį) neigiamą poveikį viešojo sektoriaus subjekto veiklai, reputacijai, pasitikėjimui juo, finansinius nuostolius</w:t>
      </w:r>
      <w:r>
        <w:rPr>
          <w:bCs/>
          <w:spacing w:val="-2"/>
        </w:rPr>
        <w:t xml:space="preserve"> (negautas pajamas)</w:t>
      </w:r>
      <w:r w:rsidRPr="00A648DC">
        <w:rPr>
          <w:bCs/>
          <w:spacing w:val="-2"/>
        </w:rPr>
        <w:t xml:space="preserve">  ir t. t., analizę, nustatyta, kad gali būti </w:t>
      </w:r>
      <w:r>
        <w:rPr>
          <w:bCs/>
          <w:spacing w:val="-2"/>
        </w:rPr>
        <w:t>p</w:t>
      </w:r>
      <w:r w:rsidRPr="00CB5335">
        <w:rPr>
          <w:bCs/>
          <w:spacing w:val="-2"/>
        </w:rPr>
        <w:t>atiriama papildomų ir (ar) nenumatytų biudžete finansinių išlaidų, susijusių su rizikų poveikiu (tyrimą, aplinkybių vertinimą atliekančių pareigūnų užmokestis, užsakomos ekspertizės ir pan.)</w:t>
      </w:r>
      <w:r w:rsidRPr="00A648DC">
        <w:rPr>
          <w:bCs/>
          <w:spacing w:val="-2"/>
        </w:rPr>
        <w:t>.</w:t>
      </w:r>
    </w:p>
    <w:p w14:paraId="70A1E6B7" w14:textId="77777777" w:rsidR="005F08B9" w:rsidRDefault="005F08B9" w:rsidP="002964C8">
      <w:pPr>
        <w:ind w:firstLine="1298"/>
        <w:jc w:val="both"/>
      </w:pPr>
      <w:r>
        <w:rPr>
          <w:bCs/>
          <w:spacing w:val="-2"/>
        </w:rPr>
        <w:t>Rizikos R</w:t>
      </w:r>
      <w:r>
        <w:rPr>
          <w:bCs/>
          <w:spacing w:val="-2"/>
          <w:vertAlign w:val="subscript"/>
        </w:rPr>
        <w:t>2</w:t>
      </w:r>
      <w:r>
        <w:rPr>
          <w:bCs/>
          <w:spacing w:val="-2"/>
        </w:rPr>
        <w:t xml:space="preserve"> </w:t>
      </w:r>
      <w:r>
        <w:t>Tikimybė (T</w:t>
      </w:r>
      <w:r>
        <w:rPr>
          <w:vertAlign w:val="subscript"/>
        </w:rPr>
        <w:t>2</w:t>
      </w:r>
      <w:r>
        <w:t xml:space="preserve">) vertinama 1 lygiu (labai žemas), nes analizuojamu laikotarpiu Turto banko veiklos srityje nebuvo nustatyta galimų interesų konfliktų, kas atitinka situaciją, kai „yra  </w:t>
      </w:r>
      <w:r w:rsidRPr="004F0444">
        <w:t>0 atvejų per metus subjektuose, kuriuose dirba nuo 1 iki 1 000 darbuotojų</w:t>
      </w:r>
      <w:r>
        <w:t>“</w:t>
      </w:r>
      <w:r w:rsidRPr="004F0444">
        <w:t>.</w:t>
      </w:r>
    </w:p>
    <w:p w14:paraId="0E1CF78A" w14:textId="77777777" w:rsidR="005F08B9" w:rsidRPr="00716B39" w:rsidRDefault="005F08B9" w:rsidP="002964C8">
      <w:pPr>
        <w:ind w:firstLine="1298"/>
        <w:jc w:val="both"/>
        <w:rPr>
          <w:b/>
          <w:bCs/>
        </w:rPr>
      </w:pPr>
      <w:r w:rsidRPr="00716B39">
        <w:rPr>
          <w:b/>
          <w:bCs/>
        </w:rPr>
        <w:t>Pasiūlyma</w:t>
      </w:r>
      <w:r>
        <w:rPr>
          <w:b/>
          <w:bCs/>
        </w:rPr>
        <w:t>i</w:t>
      </w:r>
      <w:r w:rsidRPr="00716B39">
        <w:rPr>
          <w:b/>
          <w:bCs/>
        </w:rPr>
        <w:t xml:space="preserve"> dėl nustatytos rizikos </w:t>
      </w:r>
      <w:r>
        <w:rPr>
          <w:b/>
          <w:bCs/>
        </w:rPr>
        <w:t>R</w:t>
      </w:r>
      <w:r>
        <w:rPr>
          <w:b/>
          <w:bCs/>
          <w:vertAlign w:val="subscript"/>
        </w:rPr>
        <w:t>2</w:t>
      </w:r>
      <w:r>
        <w:rPr>
          <w:b/>
          <w:bCs/>
        </w:rPr>
        <w:t xml:space="preserve"> </w:t>
      </w:r>
      <w:r w:rsidRPr="00716B39">
        <w:rPr>
          <w:b/>
          <w:bCs/>
        </w:rPr>
        <w:t>mažinimo priemonių taikymo:</w:t>
      </w:r>
    </w:p>
    <w:p w14:paraId="085122C2" w14:textId="77777777" w:rsidR="005F08B9" w:rsidRPr="0032617D" w:rsidRDefault="005F08B9" w:rsidP="005F08B9">
      <w:pPr>
        <w:pStyle w:val="Sraopastraipa"/>
        <w:numPr>
          <w:ilvl w:val="0"/>
          <w:numId w:val="39"/>
        </w:numPr>
        <w:spacing w:after="0" w:line="240" w:lineRule="auto"/>
        <w:ind w:left="0" w:firstLine="1298"/>
        <w:jc w:val="both"/>
        <w:rPr>
          <w:bCs/>
          <w:spacing w:val="-2"/>
        </w:rPr>
      </w:pPr>
      <w:r w:rsidRPr="001F3522">
        <w:t>Dėl netinkamo sutarčių vykdymo susijusio su CAD ir SUD prievolėmis</w:t>
      </w:r>
      <w:r>
        <w:t xml:space="preserve"> tiekėjams ar rangovams taikyti baudas ar kitas poveikio priemones;</w:t>
      </w:r>
    </w:p>
    <w:p w14:paraId="2BAF13BE" w14:textId="77777777" w:rsidR="005F08B9" w:rsidRPr="006832E3" w:rsidRDefault="005F08B9" w:rsidP="005F08B9">
      <w:pPr>
        <w:pStyle w:val="Sraopastraipa"/>
        <w:numPr>
          <w:ilvl w:val="0"/>
          <w:numId w:val="39"/>
        </w:numPr>
        <w:spacing w:after="0" w:line="240" w:lineRule="auto"/>
        <w:ind w:left="0" w:firstLine="1298"/>
        <w:jc w:val="both"/>
        <w:rPr>
          <w:bCs/>
          <w:spacing w:val="-2"/>
        </w:rPr>
      </w:pPr>
      <w:r>
        <w:t>Įvertinti teisines ir technines aplinkybes dėl galimybės sustabdyti mokėjimus pagal sutartį kuomet nėra užtikrinamos sutartyse numatytos prievolės susijusios su CAD IR SUD.</w:t>
      </w:r>
    </w:p>
    <w:p w14:paraId="76951A64" w14:textId="77777777" w:rsidR="005F08B9" w:rsidRDefault="005F08B9" w:rsidP="006832E3">
      <w:pPr>
        <w:jc w:val="both"/>
        <w:rPr>
          <w:bCs/>
          <w:spacing w:val="-2"/>
        </w:rPr>
      </w:pPr>
    </w:p>
    <w:p w14:paraId="51225B46" w14:textId="77777777" w:rsidR="005F08B9" w:rsidRPr="006832E3" w:rsidRDefault="005F08B9" w:rsidP="006832E3">
      <w:pPr>
        <w:jc w:val="both"/>
        <w:rPr>
          <w:bCs/>
          <w:spacing w:val="-2"/>
        </w:rPr>
      </w:pPr>
      <w:r>
        <w:rPr>
          <w:bCs/>
          <w:spacing w:val="-2"/>
        </w:rPr>
        <w:t xml:space="preserve">                                ___________________________________________ </w:t>
      </w:r>
    </w:p>
    <w:p w14:paraId="2E146A77" w14:textId="77777777" w:rsidR="005F08B9" w:rsidRDefault="005F08B9" w:rsidP="0045799F">
      <w:pPr>
        <w:jc w:val="both"/>
        <w:rPr>
          <w:bCs/>
          <w:spacing w:val="-2"/>
        </w:rPr>
      </w:pPr>
    </w:p>
    <w:p w14:paraId="2ECFB426" w14:textId="77777777" w:rsidR="005F08B9" w:rsidRDefault="005F08B9">
      <w:pPr>
        <w:tabs>
          <w:tab w:val="center" w:pos="4819"/>
          <w:tab w:val="right" w:pos="9638"/>
        </w:tabs>
      </w:pPr>
    </w:p>
    <w:p w14:paraId="1E8CF9FE" w14:textId="77777777" w:rsidR="005F08B9" w:rsidRPr="005F08B9" w:rsidRDefault="005F08B9" w:rsidP="005F08B9">
      <w:pPr>
        <w:jc w:val="right"/>
        <w:rPr>
          <w:bCs/>
          <w:szCs w:val="24"/>
        </w:rPr>
      </w:pPr>
      <w:bookmarkStart w:id="1" w:name="_Hlk146786169"/>
      <w:r w:rsidRPr="005F08B9">
        <w:rPr>
          <w:bCs/>
          <w:szCs w:val="24"/>
        </w:rPr>
        <w:t xml:space="preserve">Korupcijos pasireiškimo tikimybės nustatymo išvados </w:t>
      </w:r>
    </w:p>
    <w:p w14:paraId="77C23582" w14:textId="215F4A0F" w:rsidR="005F08B9" w:rsidRPr="005F08B9" w:rsidRDefault="005F08B9" w:rsidP="005F08B9">
      <w:pPr>
        <w:jc w:val="right"/>
        <w:rPr>
          <w:bCs/>
          <w:szCs w:val="24"/>
        </w:rPr>
      </w:pPr>
      <w:r w:rsidRPr="005F08B9">
        <w:rPr>
          <w:bCs/>
          <w:szCs w:val="24"/>
        </w:rPr>
        <w:t>2 priedas</w:t>
      </w:r>
    </w:p>
    <w:p w14:paraId="713EEBAB" w14:textId="0EF8BEF3" w:rsidR="005F08B9" w:rsidRPr="00DD0288" w:rsidRDefault="005F08B9">
      <w:pPr>
        <w:jc w:val="center"/>
        <w:rPr>
          <w:b/>
          <w:szCs w:val="24"/>
        </w:rPr>
      </w:pPr>
      <w:r w:rsidRPr="00DD0288">
        <w:rPr>
          <w:b/>
          <w:szCs w:val="24"/>
        </w:rPr>
        <w:t>Su analizuojamos veiklos sritimi susijusių subjektų grupių sąrašas ir jų privačių interesų, didinančių korupcijos pasireiškimo tikimybę, sąrašas</w:t>
      </w:r>
    </w:p>
    <w:p w14:paraId="15E40578" w14:textId="77777777" w:rsidR="005F08B9" w:rsidRDefault="005F08B9">
      <w:pPr>
        <w:rPr>
          <w:b/>
          <w:szCs w:val="24"/>
        </w:rPr>
      </w:pPr>
    </w:p>
    <w:tbl>
      <w:tblPr>
        <w:tblW w:w="15173" w:type="dxa"/>
        <w:tblInd w:w="-152" w:type="dxa"/>
        <w:shd w:val="clear" w:color="auto" w:fill="FFFFFF"/>
        <w:tblCellMar>
          <w:left w:w="0" w:type="dxa"/>
          <w:right w:w="0" w:type="dxa"/>
        </w:tblCellMar>
        <w:tblLook w:val="04A0" w:firstRow="1" w:lastRow="0" w:firstColumn="1" w:lastColumn="0" w:noHBand="0" w:noVBand="1"/>
      </w:tblPr>
      <w:tblGrid>
        <w:gridCol w:w="856"/>
        <w:gridCol w:w="4253"/>
        <w:gridCol w:w="10064"/>
      </w:tblGrid>
      <w:tr w:rsidR="005F08B9" w:rsidRPr="007F575E" w14:paraId="65BC8E8A" w14:textId="77777777" w:rsidTr="00A76789">
        <w:trPr>
          <w:trHeight w:val="926"/>
        </w:trPr>
        <w:tc>
          <w:tcPr>
            <w:tcW w:w="8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7B29A4B" w14:textId="77777777" w:rsidR="005F08B9" w:rsidRDefault="005F08B9" w:rsidP="009840C5">
            <w:pPr>
              <w:ind w:left="-247"/>
              <w:jc w:val="center"/>
              <w:rPr>
                <w:bCs/>
                <w:i/>
                <w:szCs w:val="24"/>
                <w:lang w:eastAsia="lt-LT"/>
              </w:rPr>
            </w:pPr>
            <w:r>
              <w:rPr>
                <w:bCs/>
                <w:i/>
                <w:szCs w:val="24"/>
                <w:lang w:eastAsia="lt-LT"/>
              </w:rPr>
              <w:t xml:space="preserve"> Grupės </w:t>
            </w:r>
          </w:p>
          <w:p w14:paraId="49D616F2" w14:textId="77777777" w:rsidR="005F08B9" w:rsidRPr="007F575E" w:rsidRDefault="005F08B9" w:rsidP="009840C5">
            <w:pPr>
              <w:ind w:left="-247"/>
              <w:jc w:val="center"/>
              <w:rPr>
                <w:rFonts w:ascii="Calibri" w:hAnsi="Calibri" w:cs="Calibri"/>
                <w:i/>
                <w:lang w:eastAsia="lt-LT"/>
              </w:rPr>
            </w:pPr>
            <w:r>
              <w:rPr>
                <w:bCs/>
                <w:i/>
                <w:szCs w:val="24"/>
                <w:lang w:eastAsia="lt-LT"/>
              </w:rPr>
              <w:t xml:space="preserve">Nr. </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14:paraId="353B2ABD" w14:textId="77777777" w:rsidR="005F08B9" w:rsidRPr="00D41723" w:rsidRDefault="005F08B9" w:rsidP="00E3792E">
            <w:pPr>
              <w:ind w:left="360"/>
              <w:jc w:val="center"/>
              <w:rPr>
                <w:bCs/>
                <w:i/>
                <w:iCs/>
                <w:szCs w:val="24"/>
                <w:lang w:eastAsia="lt-LT"/>
              </w:rPr>
            </w:pPr>
            <w:r w:rsidRPr="00D41723">
              <w:rPr>
                <w:b/>
                <w:i/>
                <w:iCs/>
                <w:szCs w:val="24"/>
              </w:rPr>
              <w:t>Suinteresuotos šalys</w:t>
            </w:r>
            <w:r w:rsidRPr="00D41723">
              <w:rPr>
                <w:bCs/>
                <w:i/>
                <w:iCs/>
                <w:szCs w:val="24"/>
              </w:rPr>
              <w:t xml:space="preserve"> susijusios su -  </w:t>
            </w:r>
            <w:r>
              <w:rPr>
                <w:bCs/>
                <w:i/>
                <w:iCs/>
                <w:szCs w:val="24"/>
              </w:rPr>
              <w:t>viešųjų pirkimų (toliau -VP) metu sudarytomis sutartimis</w:t>
            </w:r>
          </w:p>
        </w:tc>
        <w:tc>
          <w:tcPr>
            <w:tcW w:w="100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9E372EC" w14:textId="77777777" w:rsidR="005F08B9" w:rsidRPr="00EA184B" w:rsidRDefault="005F08B9" w:rsidP="00E3792E">
            <w:pPr>
              <w:ind w:left="720"/>
              <w:jc w:val="center"/>
              <w:rPr>
                <w:rFonts w:ascii="Calibri" w:hAnsi="Calibri" w:cs="Calibri"/>
                <w:bCs/>
                <w:i/>
                <w:lang w:eastAsia="lt-LT"/>
              </w:rPr>
            </w:pPr>
            <w:r w:rsidRPr="002277B0">
              <w:rPr>
                <w:bCs/>
                <w:i/>
                <w:szCs w:val="24"/>
                <w:lang w:eastAsia="lt-LT"/>
              </w:rPr>
              <w:t xml:space="preserve">Hipotetiniai suinteresuotų šalių </w:t>
            </w:r>
            <w:r w:rsidRPr="002277B0">
              <w:rPr>
                <w:b/>
                <w:i/>
                <w:szCs w:val="24"/>
                <w:lang w:eastAsia="lt-LT"/>
              </w:rPr>
              <w:t>privatūs interesai</w:t>
            </w:r>
            <w:r>
              <w:rPr>
                <w:b/>
                <w:i/>
                <w:szCs w:val="24"/>
                <w:lang w:eastAsia="lt-LT"/>
              </w:rPr>
              <w:t xml:space="preserve"> </w:t>
            </w:r>
            <w:r>
              <w:rPr>
                <w:bCs/>
                <w:i/>
                <w:szCs w:val="24"/>
                <w:lang w:eastAsia="lt-LT"/>
              </w:rPr>
              <w:t>galintys didinti KPT pasireiškimo tikimybę</w:t>
            </w:r>
          </w:p>
        </w:tc>
      </w:tr>
      <w:tr w:rsidR="005F08B9" w:rsidRPr="007F575E" w14:paraId="3817434B" w14:textId="77777777" w:rsidTr="00C8419A">
        <w:trPr>
          <w:trHeight w:val="756"/>
        </w:trPr>
        <w:tc>
          <w:tcPr>
            <w:tcW w:w="8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DB536ED" w14:textId="77777777" w:rsidR="005F08B9" w:rsidRPr="00DD3859" w:rsidRDefault="005F08B9" w:rsidP="00E3792E">
            <w:pPr>
              <w:rPr>
                <w:b/>
                <w:szCs w:val="24"/>
                <w:lang w:eastAsia="lt-LT"/>
              </w:rPr>
            </w:pPr>
            <w:r w:rsidRPr="00DD3859">
              <w:rPr>
                <w:b/>
                <w:szCs w:val="24"/>
                <w:lang w:eastAsia="lt-LT"/>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14:paraId="7C08E00F" w14:textId="77777777" w:rsidR="005F08B9" w:rsidRPr="002E5FD0" w:rsidRDefault="005F08B9" w:rsidP="00287515">
            <w:pPr>
              <w:ind w:right="131"/>
              <w:jc w:val="both"/>
              <w:rPr>
                <w:bCs/>
                <w:szCs w:val="24"/>
              </w:rPr>
            </w:pPr>
            <w:r>
              <w:rPr>
                <w:bCs/>
                <w:szCs w:val="24"/>
              </w:rPr>
              <w:t xml:space="preserve"> </w:t>
            </w:r>
            <w:r w:rsidRPr="009C48E0">
              <w:rPr>
                <w:bCs/>
                <w:szCs w:val="24"/>
              </w:rPr>
              <w:t>Prekių tiekėjai ir subtiekėjai pagal sudarytas VP sutartis</w:t>
            </w:r>
            <w:r>
              <w:rPr>
                <w:bCs/>
                <w:szCs w:val="24"/>
              </w:rPr>
              <w:t>, konkrečių prekių gamintojai ar importuotojai</w:t>
            </w:r>
            <w:r w:rsidRPr="009C48E0">
              <w:rPr>
                <w:bCs/>
                <w:szCs w:val="24"/>
              </w:rPr>
              <w:t>;</w:t>
            </w:r>
          </w:p>
          <w:p w14:paraId="7B88A7F7" w14:textId="77777777" w:rsidR="005F08B9" w:rsidRPr="007F575E" w:rsidRDefault="005F08B9" w:rsidP="00DD3859">
            <w:pPr>
              <w:tabs>
                <w:tab w:val="left" w:pos="5648"/>
              </w:tabs>
              <w:ind w:left="720" w:right="131"/>
              <w:contextualSpacing/>
              <w:jc w:val="both"/>
              <w:rPr>
                <w:szCs w:val="24"/>
                <w:lang w:eastAsia="lt-LT"/>
              </w:rPr>
            </w:pPr>
          </w:p>
        </w:tc>
        <w:tc>
          <w:tcPr>
            <w:tcW w:w="100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4A0AD22" w14:textId="77777777" w:rsidR="005F08B9" w:rsidRDefault="005F08B9" w:rsidP="005F08B9">
            <w:pPr>
              <w:pStyle w:val="Sraopastraipa"/>
              <w:numPr>
                <w:ilvl w:val="0"/>
                <w:numId w:val="40"/>
              </w:numPr>
              <w:spacing w:after="0" w:line="240" w:lineRule="auto"/>
              <w:ind w:left="357" w:hanging="357"/>
              <w:jc w:val="both"/>
              <w:rPr>
                <w:szCs w:val="24"/>
                <w:lang w:eastAsia="lt-LT"/>
              </w:rPr>
            </w:pPr>
            <w:r w:rsidRPr="00ED2FF2">
              <w:rPr>
                <w:szCs w:val="24"/>
                <w:lang w:eastAsia="lt-LT"/>
              </w:rPr>
              <w:t xml:space="preserve">Faktiškai </w:t>
            </w:r>
            <w:r w:rsidRPr="00330478">
              <w:rPr>
                <w:szCs w:val="24"/>
                <w:lang w:eastAsia="lt-LT"/>
              </w:rPr>
              <w:t>įgyt</w:t>
            </w:r>
            <w:r>
              <w:rPr>
                <w:szCs w:val="24"/>
                <w:lang w:eastAsia="lt-LT"/>
              </w:rPr>
              <w:t>as</w:t>
            </w:r>
            <w:r w:rsidRPr="00330478">
              <w:rPr>
                <w:szCs w:val="24"/>
                <w:lang w:eastAsia="lt-LT"/>
              </w:rPr>
              <w:t xml:space="preserve"> prek</w:t>
            </w:r>
            <w:r>
              <w:rPr>
                <w:szCs w:val="24"/>
                <w:lang w:eastAsia="lt-LT"/>
              </w:rPr>
              <w:t>es</w:t>
            </w:r>
            <w:r w:rsidRPr="00330478">
              <w:rPr>
                <w:szCs w:val="24"/>
                <w:lang w:eastAsia="lt-LT"/>
              </w:rPr>
              <w:t xml:space="preserve"> pakei</w:t>
            </w:r>
            <w:r>
              <w:rPr>
                <w:szCs w:val="24"/>
                <w:lang w:eastAsia="lt-LT"/>
              </w:rPr>
              <w:t>sti</w:t>
            </w:r>
            <w:r w:rsidRPr="00330478">
              <w:rPr>
                <w:szCs w:val="24"/>
                <w:lang w:eastAsia="lt-LT"/>
              </w:rPr>
              <w:t xml:space="preserve"> </w:t>
            </w:r>
            <w:r>
              <w:rPr>
                <w:szCs w:val="24"/>
                <w:lang w:eastAsia="lt-LT"/>
              </w:rPr>
              <w:t xml:space="preserve">pirkimo sąlygų neatitinkančiosiomis, </w:t>
            </w:r>
            <w:r w:rsidRPr="00330478">
              <w:rPr>
                <w:szCs w:val="24"/>
                <w:lang w:eastAsia="lt-LT"/>
              </w:rPr>
              <w:t>žemesnės kokybės prek</w:t>
            </w:r>
            <w:r>
              <w:rPr>
                <w:szCs w:val="24"/>
                <w:lang w:eastAsia="lt-LT"/>
              </w:rPr>
              <w:t>ėmis</w:t>
            </w:r>
            <w:r w:rsidRPr="00ED2FF2">
              <w:rPr>
                <w:szCs w:val="24"/>
                <w:lang w:eastAsia="lt-LT"/>
              </w:rPr>
              <w:t>;</w:t>
            </w:r>
          </w:p>
          <w:p w14:paraId="631EDBAC" w14:textId="77777777" w:rsidR="005F08B9" w:rsidRDefault="005F08B9" w:rsidP="005F08B9">
            <w:pPr>
              <w:pStyle w:val="Sraopastraipa"/>
              <w:numPr>
                <w:ilvl w:val="0"/>
                <w:numId w:val="40"/>
              </w:numPr>
              <w:spacing w:after="0" w:line="240" w:lineRule="auto"/>
              <w:ind w:left="357" w:hanging="357"/>
              <w:jc w:val="both"/>
              <w:rPr>
                <w:szCs w:val="24"/>
                <w:lang w:eastAsia="lt-LT"/>
              </w:rPr>
            </w:pPr>
            <w:r>
              <w:rPr>
                <w:szCs w:val="24"/>
                <w:lang w:eastAsia="lt-LT"/>
              </w:rPr>
              <w:t>Teikti prekes iš trečiųjų valstybių kurioms taikomas Tarptautinių sankcijų ir kituose teisės aktuose numatyti ribojimai;</w:t>
            </w:r>
          </w:p>
          <w:p w14:paraId="31DE4C06" w14:textId="77777777" w:rsidR="005F08B9" w:rsidRPr="00631CF6" w:rsidRDefault="005F08B9" w:rsidP="005F08B9">
            <w:pPr>
              <w:pStyle w:val="Sraopastraipa"/>
              <w:numPr>
                <w:ilvl w:val="0"/>
                <w:numId w:val="40"/>
              </w:numPr>
              <w:spacing w:after="0" w:line="240" w:lineRule="auto"/>
              <w:ind w:left="357" w:hanging="357"/>
              <w:jc w:val="both"/>
              <w:rPr>
                <w:szCs w:val="24"/>
                <w:lang w:eastAsia="lt-LT"/>
              </w:rPr>
            </w:pPr>
            <w:r>
              <w:rPr>
                <w:szCs w:val="24"/>
                <w:lang w:eastAsia="lt-LT"/>
              </w:rPr>
              <w:t>Vengti numatytų baudų už netinkamą sutarčių vykdymą.</w:t>
            </w:r>
          </w:p>
        </w:tc>
      </w:tr>
      <w:tr w:rsidR="005F08B9" w:rsidRPr="007F575E" w14:paraId="2233E1A1" w14:textId="77777777" w:rsidTr="00C8419A">
        <w:trPr>
          <w:trHeight w:val="710"/>
        </w:trPr>
        <w:tc>
          <w:tcPr>
            <w:tcW w:w="856"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6F7D682A" w14:textId="77777777" w:rsidR="005F08B9" w:rsidRPr="00DD3859" w:rsidRDefault="005F08B9" w:rsidP="00E3792E">
            <w:pPr>
              <w:jc w:val="both"/>
              <w:rPr>
                <w:b/>
                <w:szCs w:val="24"/>
                <w:lang w:eastAsia="lt-LT"/>
              </w:rPr>
            </w:pPr>
            <w:r w:rsidRPr="00DD3859">
              <w:rPr>
                <w:b/>
                <w:szCs w:val="24"/>
                <w:lang w:eastAsia="lt-LT"/>
              </w:rPr>
              <w:t>2</w:t>
            </w:r>
          </w:p>
        </w:tc>
        <w:tc>
          <w:tcPr>
            <w:tcW w:w="4253" w:type="dxa"/>
            <w:tcBorders>
              <w:top w:val="single" w:sz="4" w:space="0" w:color="auto"/>
              <w:left w:val="nil"/>
              <w:bottom w:val="single" w:sz="4" w:space="0" w:color="auto"/>
              <w:right w:val="single" w:sz="4" w:space="0" w:color="auto"/>
            </w:tcBorders>
            <w:shd w:val="clear" w:color="auto" w:fill="FFFFFF"/>
          </w:tcPr>
          <w:p w14:paraId="3911FDE2" w14:textId="77777777" w:rsidR="005F08B9" w:rsidRPr="006A1B6A" w:rsidRDefault="005F08B9" w:rsidP="006A1B6A">
            <w:pPr>
              <w:ind w:right="131"/>
              <w:jc w:val="both"/>
              <w:rPr>
                <w:szCs w:val="24"/>
                <w:lang w:eastAsia="lt-LT"/>
              </w:rPr>
            </w:pPr>
            <w:r>
              <w:rPr>
                <w:bCs/>
                <w:szCs w:val="24"/>
              </w:rPr>
              <w:t xml:space="preserve"> </w:t>
            </w:r>
            <w:r w:rsidRPr="006A1B6A">
              <w:rPr>
                <w:bCs/>
                <w:szCs w:val="24"/>
              </w:rPr>
              <w:t>Paslaugų tiekėjai ir subtiekėjai pagal sudarytas VP sutartis;</w:t>
            </w:r>
          </w:p>
        </w:tc>
        <w:tc>
          <w:tcPr>
            <w:tcW w:w="10064"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14:paraId="02458CDD" w14:textId="77777777" w:rsidR="005F08B9" w:rsidRDefault="005F08B9" w:rsidP="005F08B9">
            <w:pPr>
              <w:pStyle w:val="Sraopastraipa"/>
              <w:numPr>
                <w:ilvl w:val="0"/>
                <w:numId w:val="41"/>
              </w:numPr>
              <w:spacing w:after="0" w:line="240" w:lineRule="auto"/>
              <w:ind w:left="357" w:hanging="357"/>
              <w:jc w:val="both"/>
              <w:rPr>
                <w:szCs w:val="24"/>
                <w:lang w:eastAsia="lt-LT"/>
              </w:rPr>
            </w:pPr>
            <w:r>
              <w:rPr>
                <w:szCs w:val="24"/>
                <w:lang w:eastAsia="lt-LT"/>
              </w:rPr>
              <w:t>Teikti p</w:t>
            </w:r>
            <w:r w:rsidRPr="00E142F1">
              <w:rPr>
                <w:szCs w:val="24"/>
                <w:lang w:eastAsia="lt-LT"/>
              </w:rPr>
              <w:t>irkimo sąlygų neatitinkanči</w:t>
            </w:r>
            <w:r>
              <w:rPr>
                <w:szCs w:val="24"/>
                <w:lang w:eastAsia="lt-LT"/>
              </w:rPr>
              <w:t>as</w:t>
            </w:r>
            <w:r w:rsidRPr="00E142F1">
              <w:rPr>
                <w:szCs w:val="24"/>
                <w:lang w:eastAsia="lt-LT"/>
              </w:rPr>
              <w:t>, nekokybiš</w:t>
            </w:r>
            <w:r>
              <w:rPr>
                <w:szCs w:val="24"/>
                <w:lang w:eastAsia="lt-LT"/>
              </w:rPr>
              <w:t>kas paslaugas</w:t>
            </w:r>
            <w:r w:rsidRPr="00DC21BF">
              <w:rPr>
                <w:szCs w:val="24"/>
                <w:lang w:eastAsia="lt-LT"/>
              </w:rPr>
              <w:t>;</w:t>
            </w:r>
          </w:p>
          <w:p w14:paraId="4139B1E2" w14:textId="77777777" w:rsidR="005F08B9" w:rsidRPr="00DC21BF" w:rsidRDefault="005F08B9" w:rsidP="005F08B9">
            <w:pPr>
              <w:pStyle w:val="Sraopastraipa"/>
              <w:numPr>
                <w:ilvl w:val="0"/>
                <w:numId w:val="41"/>
              </w:numPr>
              <w:spacing w:after="0" w:line="240" w:lineRule="auto"/>
              <w:ind w:left="357" w:hanging="357"/>
              <w:jc w:val="both"/>
              <w:rPr>
                <w:szCs w:val="24"/>
                <w:lang w:eastAsia="lt-LT"/>
              </w:rPr>
            </w:pPr>
            <w:r>
              <w:rPr>
                <w:szCs w:val="24"/>
                <w:lang w:eastAsia="lt-LT"/>
              </w:rPr>
              <w:t>Pasitelkti nedeklaruotus ar  kvalifikacijos neatitinkančius subtiekėjus;</w:t>
            </w:r>
          </w:p>
          <w:p w14:paraId="5D69FC66" w14:textId="77777777" w:rsidR="005F08B9" w:rsidRDefault="005F08B9" w:rsidP="005F08B9">
            <w:pPr>
              <w:pStyle w:val="Sraopastraipa"/>
              <w:numPr>
                <w:ilvl w:val="0"/>
                <w:numId w:val="41"/>
              </w:numPr>
              <w:spacing w:after="0" w:line="240" w:lineRule="auto"/>
              <w:ind w:left="357" w:hanging="357"/>
              <w:jc w:val="both"/>
              <w:rPr>
                <w:szCs w:val="24"/>
                <w:lang w:eastAsia="lt-LT"/>
              </w:rPr>
            </w:pPr>
            <w:r>
              <w:rPr>
                <w:szCs w:val="24"/>
                <w:lang w:eastAsia="lt-LT"/>
              </w:rPr>
              <w:t>Teikiant paslaugas naudoti netinkamus, didesnės vertės įkainius;</w:t>
            </w:r>
          </w:p>
          <w:p w14:paraId="4604C8F8" w14:textId="77777777" w:rsidR="005F08B9" w:rsidRDefault="005F08B9" w:rsidP="005F08B9">
            <w:pPr>
              <w:pStyle w:val="Sraopastraipa"/>
              <w:numPr>
                <w:ilvl w:val="0"/>
                <w:numId w:val="41"/>
              </w:numPr>
              <w:spacing w:after="0" w:line="240" w:lineRule="auto"/>
              <w:ind w:left="357" w:hanging="357"/>
              <w:jc w:val="both"/>
              <w:rPr>
                <w:szCs w:val="24"/>
                <w:lang w:eastAsia="lt-LT"/>
              </w:rPr>
            </w:pPr>
            <w:r>
              <w:rPr>
                <w:szCs w:val="24"/>
                <w:lang w:eastAsia="lt-LT"/>
              </w:rPr>
              <w:t>Nepagristai iniciuoti sutarčių pakeitimus;</w:t>
            </w:r>
          </w:p>
          <w:p w14:paraId="409EABDC" w14:textId="77777777" w:rsidR="005F08B9" w:rsidRPr="00DC21BF" w:rsidRDefault="005F08B9" w:rsidP="005F08B9">
            <w:pPr>
              <w:pStyle w:val="Sraopastraipa"/>
              <w:numPr>
                <w:ilvl w:val="0"/>
                <w:numId w:val="41"/>
              </w:numPr>
              <w:spacing w:after="0" w:line="240" w:lineRule="auto"/>
              <w:ind w:left="357" w:hanging="357"/>
              <w:jc w:val="both"/>
              <w:rPr>
                <w:szCs w:val="24"/>
                <w:lang w:eastAsia="lt-LT"/>
              </w:rPr>
            </w:pPr>
            <w:r>
              <w:rPr>
                <w:szCs w:val="24"/>
                <w:lang w:eastAsia="lt-LT"/>
              </w:rPr>
              <w:t>Vengti numatytų baudų už netinkamą sutarčių vykdymą.</w:t>
            </w:r>
          </w:p>
        </w:tc>
      </w:tr>
      <w:tr w:rsidR="005F08B9" w:rsidRPr="007F575E" w14:paraId="4525E692" w14:textId="77777777" w:rsidTr="00C8419A">
        <w:trPr>
          <w:trHeight w:val="710"/>
        </w:trPr>
        <w:tc>
          <w:tcPr>
            <w:tcW w:w="856"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3B6394A3" w14:textId="77777777" w:rsidR="005F08B9" w:rsidRPr="007F575E" w:rsidRDefault="005F08B9" w:rsidP="00753809">
            <w:pPr>
              <w:jc w:val="both"/>
              <w:rPr>
                <w:b/>
                <w:bCs/>
                <w:szCs w:val="24"/>
                <w:lang w:eastAsia="lt-LT"/>
              </w:rPr>
            </w:pPr>
            <w:r>
              <w:rPr>
                <w:b/>
                <w:bCs/>
                <w:szCs w:val="24"/>
                <w:lang w:eastAsia="lt-LT"/>
              </w:rPr>
              <w:t>3</w:t>
            </w:r>
          </w:p>
        </w:tc>
        <w:tc>
          <w:tcPr>
            <w:tcW w:w="4253" w:type="dxa"/>
            <w:tcBorders>
              <w:top w:val="single" w:sz="4" w:space="0" w:color="auto"/>
              <w:left w:val="nil"/>
              <w:bottom w:val="single" w:sz="4" w:space="0" w:color="auto"/>
              <w:right w:val="single" w:sz="4" w:space="0" w:color="auto"/>
            </w:tcBorders>
            <w:shd w:val="clear" w:color="auto" w:fill="FFFFFF"/>
          </w:tcPr>
          <w:p w14:paraId="7649FF10" w14:textId="77777777" w:rsidR="005F08B9" w:rsidRPr="006A1B6A" w:rsidRDefault="005F08B9" w:rsidP="00753809">
            <w:pPr>
              <w:ind w:right="131"/>
              <w:jc w:val="both"/>
              <w:rPr>
                <w:szCs w:val="24"/>
                <w:lang w:eastAsia="lt-LT"/>
              </w:rPr>
            </w:pPr>
            <w:r>
              <w:rPr>
                <w:bCs/>
                <w:szCs w:val="24"/>
              </w:rPr>
              <w:t xml:space="preserve"> </w:t>
            </w:r>
            <w:r w:rsidRPr="006B63C0">
              <w:rPr>
                <w:bCs/>
                <w:szCs w:val="24"/>
              </w:rPr>
              <w:t xml:space="preserve">Rangovai ir subrangovai pagal sudarytas VP remonto </w:t>
            </w:r>
            <w:r>
              <w:rPr>
                <w:bCs/>
                <w:szCs w:val="24"/>
              </w:rPr>
              <w:t xml:space="preserve">ar modernizacijos </w:t>
            </w:r>
            <w:r w:rsidRPr="006B63C0">
              <w:rPr>
                <w:bCs/>
                <w:szCs w:val="24"/>
              </w:rPr>
              <w:t>sutartis;</w:t>
            </w:r>
          </w:p>
        </w:tc>
        <w:tc>
          <w:tcPr>
            <w:tcW w:w="10064"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14:paraId="0FCAFE74" w14:textId="77777777" w:rsidR="005F08B9" w:rsidRPr="00B26347" w:rsidRDefault="005F08B9" w:rsidP="005F08B9">
            <w:pPr>
              <w:pStyle w:val="Sraopastraipa"/>
              <w:numPr>
                <w:ilvl w:val="0"/>
                <w:numId w:val="37"/>
              </w:numPr>
              <w:spacing w:after="0" w:line="240" w:lineRule="auto"/>
              <w:ind w:left="357" w:hanging="357"/>
              <w:jc w:val="both"/>
              <w:rPr>
                <w:szCs w:val="24"/>
                <w:lang w:eastAsia="lt-LT"/>
              </w:rPr>
            </w:pPr>
            <w:r>
              <w:rPr>
                <w:szCs w:val="24"/>
                <w:lang w:eastAsia="lt-LT"/>
              </w:rPr>
              <w:t xml:space="preserve">Rangos darbus atlikti ne pagal projektą, technines sąlygas ar </w:t>
            </w:r>
            <w:r w:rsidRPr="00B26347">
              <w:rPr>
                <w:szCs w:val="24"/>
                <w:lang w:eastAsia="lt-LT"/>
              </w:rPr>
              <w:t>nekokybišk</w:t>
            </w:r>
            <w:r>
              <w:rPr>
                <w:szCs w:val="24"/>
                <w:lang w:eastAsia="lt-LT"/>
              </w:rPr>
              <w:t>ai;</w:t>
            </w:r>
          </w:p>
          <w:p w14:paraId="79906282" w14:textId="77777777" w:rsidR="005F08B9" w:rsidRPr="00DC21BF" w:rsidRDefault="005F08B9" w:rsidP="005F08B9">
            <w:pPr>
              <w:pStyle w:val="Sraopastraipa"/>
              <w:numPr>
                <w:ilvl w:val="0"/>
                <w:numId w:val="37"/>
              </w:numPr>
              <w:spacing w:after="0" w:line="240" w:lineRule="auto"/>
              <w:ind w:left="357" w:hanging="357"/>
              <w:jc w:val="both"/>
              <w:rPr>
                <w:szCs w:val="24"/>
                <w:lang w:eastAsia="lt-LT"/>
              </w:rPr>
            </w:pPr>
            <w:r>
              <w:rPr>
                <w:szCs w:val="24"/>
                <w:lang w:eastAsia="lt-LT"/>
              </w:rPr>
              <w:t xml:space="preserve">Naudoti techninės specifikacijos neatitinkančias, </w:t>
            </w:r>
            <w:r w:rsidRPr="00DE2EB6">
              <w:rPr>
                <w:szCs w:val="24"/>
                <w:lang w:eastAsia="lt-LT"/>
              </w:rPr>
              <w:t>žemesnės kokybės</w:t>
            </w:r>
            <w:r>
              <w:rPr>
                <w:szCs w:val="24"/>
                <w:lang w:eastAsia="lt-LT"/>
              </w:rPr>
              <w:t xml:space="preserve"> medžiagas;</w:t>
            </w:r>
          </w:p>
          <w:p w14:paraId="3320022C" w14:textId="77777777" w:rsidR="005F08B9" w:rsidRPr="00952D22" w:rsidRDefault="005F08B9" w:rsidP="005F08B9">
            <w:pPr>
              <w:pStyle w:val="Sraopastraipa"/>
              <w:numPr>
                <w:ilvl w:val="0"/>
                <w:numId w:val="37"/>
              </w:numPr>
              <w:spacing w:after="0" w:line="240" w:lineRule="auto"/>
              <w:ind w:left="357" w:hanging="357"/>
              <w:rPr>
                <w:szCs w:val="24"/>
                <w:lang w:eastAsia="lt-LT"/>
              </w:rPr>
            </w:pPr>
            <w:r w:rsidRPr="00952D22">
              <w:rPr>
                <w:szCs w:val="24"/>
                <w:lang w:eastAsia="lt-LT"/>
              </w:rPr>
              <w:t>Pasitelkti nedeklaruotus ar  kvalifikacijos neatitinkančius sub</w:t>
            </w:r>
            <w:r>
              <w:rPr>
                <w:szCs w:val="24"/>
                <w:lang w:eastAsia="lt-LT"/>
              </w:rPr>
              <w:t>rangovus</w:t>
            </w:r>
            <w:r w:rsidRPr="00952D22">
              <w:rPr>
                <w:szCs w:val="24"/>
                <w:lang w:eastAsia="lt-LT"/>
              </w:rPr>
              <w:t>;</w:t>
            </w:r>
          </w:p>
          <w:p w14:paraId="6E003004" w14:textId="77777777" w:rsidR="005F08B9" w:rsidRPr="00EA63CC" w:rsidRDefault="005F08B9" w:rsidP="005F08B9">
            <w:pPr>
              <w:pStyle w:val="Sraopastraipa"/>
              <w:numPr>
                <w:ilvl w:val="0"/>
                <w:numId w:val="37"/>
              </w:numPr>
              <w:spacing w:after="0" w:line="240" w:lineRule="auto"/>
              <w:ind w:left="357" w:hanging="357"/>
              <w:rPr>
                <w:szCs w:val="24"/>
                <w:lang w:eastAsia="lt-LT"/>
              </w:rPr>
            </w:pPr>
            <w:r w:rsidRPr="00EA63CC">
              <w:rPr>
                <w:szCs w:val="24"/>
                <w:lang w:eastAsia="lt-LT"/>
              </w:rPr>
              <w:t>Nepagristai iniciuoti sutarčių pakeitimus;</w:t>
            </w:r>
          </w:p>
          <w:p w14:paraId="183F0816" w14:textId="77777777" w:rsidR="005F08B9" w:rsidRPr="00730431" w:rsidRDefault="005F08B9" w:rsidP="005F08B9">
            <w:pPr>
              <w:pStyle w:val="Sraopastraipa"/>
              <w:numPr>
                <w:ilvl w:val="0"/>
                <w:numId w:val="37"/>
              </w:numPr>
              <w:spacing w:after="0" w:line="240" w:lineRule="auto"/>
              <w:ind w:left="357" w:hanging="357"/>
              <w:rPr>
                <w:szCs w:val="24"/>
                <w:lang w:eastAsia="lt-LT"/>
              </w:rPr>
            </w:pPr>
            <w:r>
              <w:rPr>
                <w:szCs w:val="24"/>
                <w:lang w:eastAsia="lt-LT"/>
              </w:rPr>
              <w:t>Vengti numatytų baudų už netinkamą sutarčių vykdymą.</w:t>
            </w:r>
          </w:p>
        </w:tc>
      </w:tr>
      <w:tr w:rsidR="005F08B9" w:rsidRPr="007F575E" w14:paraId="27C3D6EA" w14:textId="77777777" w:rsidTr="00C8419A">
        <w:trPr>
          <w:trHeight w:val="890"/>
        </w:trPr>
        <w:tc>
          <w:tcPr>
            <w:tcW w:w="856"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5A0B39D1" w14:textId="77777777" w:rsidR="005F08B9" w:rsidRDefault="005F08B9" w:rsidP="00753809">
            <w:pPr>
              <w:jc w:val="both"/>
              <w:rPr>
                <w:b/>
                <w:bCs/>
                <w:szCs w:val="24"/>
                <w:lang w:eastAsia="lt-LT"/>
              </w:rPr>
            </w:pPr>
            <w:r>
              <w:rPr>
                <w:b/>
                <w:bCs/>
                <w:szCs w:val="24"/>
                <w:lang w:eastAsia="lt-LT"/>
              </w:rPr>
              <w:t>4</w:t>
            </w:r>
          </w:p>
        </w:tc>
        <w:tc>
          <w:tcPr>
            <w:tcW w:w="4253" w:type="dxa"/>
            <w:tcBorders>
              <w:top w:val="single" w:sz="4" w:space="0" w:color="auto"/>
              <w:left w:val="nil"/>
              <w:bottom w:val="single" w:sz="4" w:space="0" w:color="auto"/>
              <w:right w:val="single" w:sz="4" w:space="0" w:color="auto"/>
            </w:tcBorders>
            <w:shd w:val="clear" w:color="auto" w:fill="FFFFFF"/>
          </w:tcPr>
          <w:p w14:paraId="7BB5EB67" w14:textId="77777777" w:rsidR="005F08B9" w:rsidRPr="002E5FD0" w:rsidRDefault="005F08B9" w:rsidP="00753809">
            <w:pPr>
              <w:ind w:right="131"/>
              <w:jc w:val="both"/>
              <w:rPr>
                <w:bCs/>
                <w:szCs w:val="24"/>
              </w:rPr>
            </w:pPr>
            <w:r w:rsidRPr="005152BF">
              <w:rPr>
                <w:bCs/>
                <w:szCs w:val="24"/>
              </w:rPr>
              <w:t>Projektuotojai atlikę</w:t>
            </w:r>
            <w:r>
              <w:rPr>
                <w:bCs/>
                <w:szCs w:val="24"/>
              </w:rPr>
              <w:t xml:space="preserve"> </w:t>
            </w:r>
            <w:r w:rsidRPr="005152BF">
              <w:rPr>
                <w:bCs/>
                <w:szCs w:val="24"/>
              </w:rPr>
              <w:t>su VP sutartimis susijusius projektavimo darbus;</w:t>
            </w:r>
          </w:p>
        </w:tc>
        <w:tc>
          <w:tcPr>
            <w:tcW w:w="10064"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14:paraId="0D14BE84" w14:textId="77777777" w:rsidR="005F08B9" w:rsidRDefault="005F08B9" w:rsidP="005F08B9">
            <w:pPr>
              <w:pStyle w:val="Sraopastraipa"/>
              <w:numPr>
                <w:ilvl w:val="0"/>
                <w:numId w:val="43"/>
              </w:numPr>
              <w:spacing w:after="0" w:line="240" w:lineRule="auto"/>
              <w:ind w:left="357" w:hanging="357"/>
              <w:rPr>
                <w:bCs/>
                <w:szCs w:val="24"/>
              </w:rPr>
            </w:pPr>
            <w:r>
              <w:rPr>
                <w:bCs/>
                <w:szCs w:val="24"/>
              </w:rPr>
              <w:t>Perduoti neskelbtiną informaciją potencialiems rangovams kuri jiems suteiktų konkurencinį pranašumą būsimuose rangos darbų pirkimuose;</w:t>
            </w:r>
          </w:p>
          <w:p w14:paraId="6FDD773C" w14:textId="77777777" w:rsidR="005F08B9" w:rsidRDefault="005F08B9" w:rsidP="005F08B9">
            <w:pPr>
              <w:pStyle w:val="Sraopastraipa"/>
              <w:numPr>
                <w:ilvl w:val="0"/>
                <w:numId w:val="43"/>
              </w:numPr>
              <w:spacing w:after="0" w:line="240" w:lineRule="auto"/>
              <w:ind w:left="357" w:hanging="357"/>
              <w:rPr>
                <w:bCs/>
                <w:szCs w:val="24"/>
              </w:rPr>
            </w:pPr>
            <w:r w:rsidRPr="00D62CC3">
              <w:rPr>
                <w:bCs/>
                <w:szCs w:val="24"/>
              </w:rPr>
              <w:t>Projektavimo etape sąmoningai palikt</w:t>
            </w:r>
            <w:r>
              <w:rPr>
                <w:bCs/>
                <w:szCs w:val="24"/>
              </w:rPr>
              <w:t>i</w:t>
            </w:r>
            <w:r w:rsidRPr="00D62CC3">
              <w:rPr>
                <w:bCs/>
                <w:szCs w:val="24"/>
              </w:rPr>
              <w:t xml:space="preserve"> </w:t>
            </w:r>
            <w:r>
              <w:rPr>
                <w:bCs/>
                <w:szCs w:val="24"/>
              </w:rPr>
              <w:t>klaidas,</w:t>
            </w:r>
            <w:r w:rsidRPr="00D62CC3">
              <w:rPr>
                <w:bCs/>
                <w:szCs w:val="24"/>
              </w:rPr>
              <w:t xml:space="preserve"> kurių pagrindu vėliau </w:t>
            </w:r>
            <w:r>
              <w:rPr>
                <w:bCs/>
                <w:szCs w:val="24"/>
              </w:rPr>
              <w:t xml:space="preserve">būtų </w:t>
            </w:r>
            <w:r w:rsidRPr="00D62CC3">
              <w:rPr>
                <w:bCs/>
                <w:szCs w:val="24"/>
              </w:rPr>
              <w:t>iniciuojam</w:t>
            </w:r>
            <w:r>
              <w:rPr>
                <w:bCs/>
                <w:szCs w:val="24"/>
              </w:rPr>
              <w:t>i</w:t>
            </w:r>
            <w:r w:rsidRPr="00D62CC3">
              <w:rPr>
                <w:bCs/>
                <w:szCs w:val="24"/>
              </w:rPr>
              <w:t xml:space="preserve"> </w:t>
            </w:r>
            <w:r>
              <w:rPr>
                <w:bCs/>
                <w:szCs w:val="24"/>
              </w:rPr>
              <w:t>rangos darbų sutarčių pakeitimai;</w:t>
            </w:r>
          </w:p>
          <w:p w14:paraId="1E343C39" w14:textId="77777777" w:rsidR="005F08B9" w:rsidRDefault="005F08B9" w:rsidP="005F08B9">
            <w:pPr>
              <w:pStyle w:val="Sraopastraipa"/>
              <w:numPr>
                <w:ilvl w:val="0"/>
                <w:numId w:val="43"/>
              </w:numPr>
              <w:spacing w:after="0" w:line="240" w:lineRule="auto"/>
              <w:ind w:left="357" w:hanging="357"/>
              <w:rPr>
                <w:bCs/>
                <w:szCs w:val="24"/>
              </w:rPr>
            </w:pPr>
            <w:r>
              <w:rPr>
                <w:bCs/>
                <w:szCs w:val="24"/>
              </w:rPr>
              <w:t>Rangos darbų eigoje nepagristai iniciuoti papildomus projektavimo darbus;</w:t>
            </w:r>
          </w:p>
          <w:p w14:paraId="54F72142" w14:textId="77777777" w:rsidR="005F08B9" w:rsidRPr="00DD3859" w:rsidRDefault="005F08B9" w:rsidP="005F08B9">
            <w:pPr>
              <w:pStyle w:val="Sraopastraipa"/>
              <w:numPr>
                <w:ilvl w:val="0"/>
                <w:numId w:val="43"/>
              </w:numPr>
              <w:spacing w:after="0" w:line="240" w:lineRule="auto"/>
              <w:ind w:left="357" w:hanging="357"/>
              <w:rPr>
                <w:bCs/>
                <w:szCs w:val="24"/>
              </w:rPr>
            </w:pPr>
            <w:r>
              <w:rPr>
                <w:szCs w:val="24"/>
                <w:lang w:eastAsia="lt-LT"/>
              </w:rPr>
              <w:t>Vengti numatytų baudų už netinkamą sutarčių vykdymą.</w:t>
            </w:r>
          </w:p>
        </w:tc>
      </w:tr>
      <w:tr w:rsidR="005F08B9" w:rsidRPr="007F575E" w14:paraId="039B666A" w14:textId="77777777" w:rsidTr="00C8419A">
        <w:trPr>
          <w:trHeight w:val="710"/>
        </w:trPr>
        <w:tc>
          <w:tcPr>
            <w:tcW w:w="856"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1F18A51A" w14:textId="77777777" w:rsidR="005F08B9" w:rsidRDefault="005F08B9" w:rsidP="00753809">
            <w:pPr>
              <w:jc w:val="both"/>
              <w:rPr>
                <w:b/>
                <w:bCs/>
                <w:szCs w:val="24"/>
                <w:lang w:eastAsia="lt-LT"/>
              </w:rPr>
            </w:pPr>
            <w:r>
              <w:rPr>
                <w:b/>
                <w:bCs/>
                <w:szCs w:val="24"/>
                <w:lang w:eastAsia="lt-LT"/>
              </w:rPr>
              <w:t>5</w:t>
            </w:r>
          </w:p>
        </w:tc>
        <w:tc>
          <w:tcPr>
            <w:tcW w:w="4253" w:type="dxa"/>
            <w:tcBorders>
              <w:top w:val="single" w:sz="4" w:space="0" w:color="auto"/>
              <w:left w:val="nil"/>
              <w:bottom w:val="single" w:sz="4" w:space="0" w:color="auto"/>
              <w:right w:val="single" w:sz="4" w:space="0" w:color="auto"/>
            </w:tcBorders>
            <w:shd w:val="clear" w:color="auto" w:fill="FFFFFF"/>
          </w:tcPr>
          <w:p w14:paraId="0F82A4F9" w14:textId="77777777" w:rsidR="005F08B9" w:rsidRPr="002E5FD0" w:rsidRDefault="005F08B9" w:rsidP="00753809">
            <w:pPr>
              <w:ind w:right="131"/>
              <w:jc w:val="both"/>
              <w:rPr>
                <w:bCs/>
                <w:szCs w:val="24"/>
              </w:rPr>
            </w:pPr>
            <w:r>
              <w:rPr>
                <w:bCs/>
                <w:szCs w:val="24"/>
              </w:rPr>
              <w:t xml:space="preserve"> </w:t>
            </w:r>
            <w:r w:rsidRPr="00F4602F">
              <w:rPr>
                <w:bCs/>
                <w:szCs w:val="24"/>
              </w:rPr>
              <w:t>Techninės priežiūros paslaugas VP sutartyse užtikrinantys subjektai;</w:t>
            </w:r>
          </w:p>
        </w:tc>
        <w:tc>
          <w:tcPr>
            <w:tcW w:w="10064"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14:paraId="21FFA5B9" w14:textId="77777777" w:rsidR="005F08B9" w:rsidRDefault="005F08B9" w:rsidP="005F08B9">
            <w:pPr>
              <w:pStyle w:val="Sraopastraipa"/>
              <w:numPr>
                <w:ilvl w:val="0"/>
                <w:numId w:val="42"/>
              </w:numPr>
              <w:spacing w:after="0" w:line="240" w:lineRule="auto"/>
              <w:ind w:left="357" w:hanging="357"/>
              <w:rPr>
                <w:bCs/>
                <w:szCs w:val="24"/>
              </w:rPr>
            </w:pPr>
            <w:r>
              <w:rPr>
                <w:bCs/>
                <w:szCs w:val="24"/>
              </w:rPr>
              <w:t>Netinkamai (rangovo naudai) atlikti rangos darbų priežiūrą</w:t>
            </w:r>
            <w:r w:rsidRPr="002E5FD0">
              <w:rPr>
                <w:bCs/>
                <w:szCs w:val="24"/>
              </w:rPr>
              <w:t>;</w:t>
            </w:r>
          </w:p>
          <w:p w14:paraId="678565B3" w14:textId="77777777" w:rsidR="005F08B9" w:rsidRPr="0003355F" w:rsidRDefault="005F08B9" w:rsidP="005F08B9">
            <w:pPr>
              <w:pStyle w:val="Sraopastraipa"/>
              <w:numPr>
                <w:ilvl w:val="0"/>
                <w:numId w:val="42"/>
              </w:numPr>
              <w:spacing w:after="0" w:line="240" w:lineRule="auto"/>
              <w:ind w:left="357" w:hanging="357"/>
              <w:rPr>
                <w:bCs/>
                <w:szCs w:val="24"/>
              </w:rPr>
            </w:pPr>
            <w:r>
              <w:rPr>
                <w:szCs w:val="24"/>
                <w:lang w:eastAsia="lt-LT"/>
              </w:rPr>
              <w:t>Vengti numatytų baudų už netinkamą sutarčių vykdymą.</w:t>
            </w:r>
          </w:p>
        </w:tc>
      </w:tr>
      <w:tr w:rsidR="005F08B9" w:rsidRPr="007F575E" w14:paraId="73592D32" w14:textId="77777777" w:rsidTr="00C8419A">
        <w:trPr>
          <w:trHeight w:val="710"/>
        </w:trPr>
        <w:tc>
          <w:tcPr>
            <w:tcW w:w="856"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7BB49093" w14:textId="77777777" w:rsidR="005F08B9" w:rsidRDefault="005F08B9" w:rsidP="00753809">
            <w:pPr>
              <w:jc w:val="both"/>
              <w:rPr>
                <w:b/>
                <w:bCs/>
                <w:szCs w:val="24"/>
                <w:lang w:eastAsia="lt-LT"/>
              </w:rPr>
            </w:pPr>
            <w:r>
              <w:rPr>
                <w:b/>
                <w:bCs/>
                <w:szCs w:val="24"/>
                <w:lang w:eastAsia="lt-LT"/>
              </w:rPr>
              <w:t>6</w:t>
            </w:r>
          </w:p>
        </w:tc>
        <w:tc>
          <w:tcPr>
            <w:tcW w:w="4253" w:type="dxa"/>
            <w:tcBorders>
              <w:top w:val="single" w:sz="4" w:space="0" w:color="auto"/>
              <w:left w:val="nil"/>
              <w:bottom w:val="single" w:sz="4" w:space="0" w:color="auto"/>
              <w:right w:val="single" w:sz="4" w:space="0" w:color="auto"/>
            </w:tcBorders>
            <w:shd w:val="clear" w:color="auto" w:fill="FFFFFF"/>
          </w:tcPr>
          <w:p w14:paraId="591B4DB7" w14:textId="77777777" w:rsidR="005F08B9" w:rsidRDefault="005F08B9" w:rsidP="00753809">
            <w:pPr>
              <w:ind w:right="131"/>
              <w:jc w:val="both"/>
              <w:rPr>
                <w:bCs/>
                <w:szCs w:val="24"/>
              </w:rPr>
            </w:pPr>
            <w:r>
              <w:rPr>
                <w:bCs/>
                <w:szCs w:val="24"/>
              </w:rPr>
              <w:t xml:space="preserve">  Kiti su VP sutarčių vykdymu susiję subjektai</w:t>
            </w:r>
          </w:p>
        </w:tc>
        <w:tc>
          <w:tcPr>
            <w:tcW w:w="10064"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14:paraId="07813821" w14:textId="77777777" w:rsidR="005F08B9" w:rsidRPr="009010DC" w:rsidRDefault="005F08B9" w:rsidP="005F08B9">
            <w:pPr>
              <w:pStyle w:val="Sraopastraipa"/>
              <w:numPr>
                <w:ilvl w:val="0"/>
                <w:numId w:val="44"/>
              </w:numPr>
              <w:spacing w:after="0" w:line="240" w:lineRule="auto"/>
              <w:ind w:left="357" w:hanging="357"/>
              <w:rPr>
                <w:bCs/>
                <w:szCs w:val="24"/>
              </w:rPr>
            </w:pPr>
            <w:r w:rsidRPr="009010DC">
              <w:rPr>
                <w:bCs/>
                <w:szCs w:val="24"/>
              </w:rPr>
              <w:t>VP nelaimėjusių dalyvių siekis nutraukti</w:t>
            </w:r>
            <w:r>
              <w:rPr>
                <w:bCs/>
                <w:szCs w:val="24"/>
              </w:rPr>
              <w:t xml:space="preserve"> su laimėtoju sudarytą</w:t>
            </w:r>
            <w:r w:rsidRPr="009010DC">
              <w:rPr>
                <w:bCs/>
                <w:szCs w:val="24"/>
              </w:rPr>
              <w:t xml:space="preserve"> sutartį</w:t>
            </w:r>
            <w:r>
              <w:rPr>
                <w:bCs/>
                <w:szCs w:val="24"/>
              </w:rPr>
              <w:t xml:space="preserve"> ar ją vilkinti</w:t>
            </w:r>
            <w:r w:rsidRPr="009010DC">
              <w:rPr>
                <w:bCs/>
                <w:szCs w:val="24"/>
              </w:rPr>
              <w:t>;</w:t>
            </w:r>
          </w:p>
          <w:p w14:paraId="03530AE1" w14:textId="77777777" w:rsidR="005F08B9" w:rsidRDefault="005F08B9" w:rsidP="005F08B9">
            <w:pPr>
              <w:pStyle w:val="Sraopastraipa"/>
              <w:numPr>
                <w:ilvl w:val="0"/>
                <w:numId w:val="44"/>
              </w:numPr>
              <w:spacing w:after="0" w:line="240" w:lineRule="auto"/>
              <w:ind w:left="357" w:hanging="357"/>
              <w:rPr>
                <w:bCs/>
                <w:szCs w:val="24"/>
              </w:rPr>
            </w:pPr>
            <w:r>
              <w:rPr>
                <w:bCs/>
                <w:szCs w:val="24"/>
              </w:rPr>
              <w:t>Turto vertintojų n</w:t>
            </w:r>
            <w:r w:rsidRPr="00071E8B">
              <w:rPr>
                <w:bCs/>
                <w:szCs w:val="24"/>
              </w:rPr>
              <w:t>etinkamai atliekamas vertinimas susijęs su kadastriniais pokyčiais</w:t>
            </w:r>
            <w:r>
              <w:rPr>
                <w:bCs/>
                <w:szCs w:val="24"/>
              </w:rPr>
              <w:t>;</w:t>
            </w:r>
          </w:p>
          <w:p w14:paraId="23D518C1" w14:textId="77777777" w:rsidR="005F08B9" w:rsidRDefault="005F08B9" w:rsidP="005F08B9">
            <w:pPr>
              <w:pStyle w:val="Sraopastraipa"/>
              <w:numPr>
                <w:ilvl w:val="0"/>
                <w:numId w:val="44"/>
              </w:numPr>
              <w:spacing w:after="0" w:line="240" w:lineRule="auto"/>
              <w:ind w:left="357" w:hanging="357"/>
              <w:rPr>
                <w:bCs/>
                <w:szCs w:val="24"/>
              </w:rPr>
            </w:pPr>
            <w:r>
              <w:rPr>
                <w:bCs/>
                <w:szCs w:val="24"/>
              </w:rPr>
              <w:t>Kredito įstaigų savo paslaugų protegavimas siekiant užtikrinti projektų finansavimo šaltinį;</w:t>
            </w:r>
          </w:p>
          <w:p w14:paraId="412374BD" w14:textId="77777777" w:rsidR="005F08B9" w:rsidRDefault="005F08B9" w:rsidP="005F08B9">
            <w:pPr>
              <w:pStyle w:val="Sraopastraipa"/>
              <w:numPr>
                <w:ilvl w:val="0"/>
                <w:numId w:val="44"/>
              </w:numPr>
              <w:spacing w:after="0" w:line="240" w:lineRule="auto"/>
              <w:ind w:left="357" w:hanging="357"/>
              <w:rPr>
                <w:bCs/>
                <w:szCs w:val="24"/>
              </w:rPr>
            </w:pPr>
            <w:r>
              <w:rPr>
                <w:bCs/>
                <w:szCs w:val="24"/>
              </w:rPr>
              <w:t>Nekilnojamo turto b</w:t>
            </w:r>
            <w:r w:rsidRPr="00B94165">
              <w:rPr>
                <w:bCs/>
                <w:szCs w:val="24"/>
              </w:rPr>
              <w:t>endrasavininkų ar gretimų patalpų savininkų noras nemokėti ar mokėti mažiau už jų suremontuotą turtą ar bendras patalpas</w:t>
            </w:r>
            <w:r>
              <w:rPr>
                <w:bCs/>
                <w:szCs w:val="24"/>
              </w:rPr>
              <w:t>;</w:t>
            </w:r>
          </w:p>
          <w:p w14:paraId="0842523A" w14:textId="77777777" w:rsidR="005F08B9" w:rsidRPr="0064205B" w:rsidRDefault="005F08B9" w:rsidP="005F08B9">
            <w:pPr>
              <w:pStyle w:val="Sraopastraipa"/>
              <w:numPr>
                <w:ilvl w:val="0"/>
                <w:numId w:val="44"/>
              </w:numPr>
              <w:spacing w:after="0" w:line="240" w:lineRule="auto"/>
              <w:ind w:left="357" w:hanging="357"/>
              <w:rPr>
                <w:bCs/>
                <w:szCs w:val="24"/>
              </w:rPr>
            </w:pPr>
            <w:r w:rsidRPr="0064205B">
              <w:rPr>
                <w:bCs/>
                <w:szCs w:val="24"/>
              </w:rPr>
              <w:t xml:space="preserve">Nuomininkų (komercinių) nepagrįstas noras iniciuoti remontą ar </w:t>
            </w:r>
            <w:proofErr w:type="spellStart"/>
            <w:r>
              <w:rPr>
                <w:bCs/>
                <w:szCs w:val="24"/>
              </w:rPr>
              <w:t>pn</w:t>
            </w:r>
            <w:proofErr w:type="spellEnd"/>
            <w:r>
              <w:rPr>
                <w:bCs/>
                <w:szCs w:val="24"/>
              </w:rPr>
              <w:t>.;</w:t>
            </w:r>
          </w:p>
        </w:tc>
      </w:tr>
      <w:bookmarkEnd w:id="1"/>
    </w:tbl>
    <w:p w14:paraId="3F27C4DC" w14:textId="77777777" w:rsidR="005F08B9" w:rsidRDefault="005F08B9" w:rsidP="002647E2">
      <w:pPr>
        <w:rPr>
          <w:b/>
          <w:sz w:val="28"/>
          <w:szCs w:val="28"/>
        </w:rPr>
      </w:pPr>
    </w:p>
    <w:p w14:paraId="73B802C3" w14:textId="77777777" w:rsidR="005F08B9" w:rsidRPr="002647E2" w:rsidRDefault="005F08B9" w:rsidP="00DA69AB">
      <w:pPr>
        <w:jc w:val="center"/>
        <w:rPr>
          <w:b/>
          <w:sz w:val="28"/>
          <w:szCs w:val="28"/>
        </w:rPr>
      </w:pPr>
      <w:r>
        <w:rPr>
          <w:b/>
          <w:sz w:val="28"/>
          <w:szCs w:val="28"/>
        </w:rPr>
        <w:t>__________________</w:t>
      </w:r>
    </w:p>
    <w:p w14:paraId="539C224E" w14:textId="77777777" w:rsidR="00680CB4" w:rsidRDefault="00680CB4"/>
    <w:sectPr w:rsidR="00680CB4" w:rsidSect="005F08B9">
      <w:headerReference w:type="default" r:id="rId9"/>
      <w:headerReference w:type="first" r:id="rId10"/>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5783932"/>
      <w:docPartObj>
        <w:docPartGallery w:val="Page Numbers (Top of Page)"/>
        <w:docPartUnique/>
      </w:docPartObj>
    </w:sdtPr>
    <w:sdtEndPr/>
    <w:sdtContent>
      <w:p w14:paraId="5614BCEA" w14:textId="77777777" w:rsidR="005F08B9" w:rsidRDefault="005F08B9">
        <w:pPr>
          <w:pStyle w:val="Antrats"/>
          <w:jc w:val="center"/>
        </w:pPr>
        <w:r>
          <w:fldChar w:fldCharType="begin"/>
        </w:r>
        <w:r>
          <w:instrText>PAGE   \* MERGEFORMAT</w:instrText>
        </w:r>
        <w:r>
          <w:fldChar w:fldCharType="separate"/>
        </w:r>
        <w:r>
          <w:rPr>
            <w:noProof/>
          </w:rPr>
          <w:t>2</w:t>
        </w:r>
        <w:r>
          <w:fldChar w:fldCharType="end"/>
        </w:r>
      </w:p>
    </w:sdtContent>
  </w:sdt>
  <w:p w14:paraId="74A049BA" w14:textId="77777777" w:rsidR="005F08B9" w:rsidRDefault="005F08B9">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50ED9" w14:textId="77777777" w:rsidR="005F08B9" w:rsidRPr="0028461F" w:rsidRDefault="005F08B9" w:rsidP="00FA7102">
    <w:pPr>
      <w:ind w:left="5529"/>
    </w:pPr>
    <w:r w:rsidRPr="0028461F">
      <w:t>PATVIRTINTA</w:t>
    </w:r>
  </w:p>
  <w:p w14:paraId="682788AD" w14:textId="77777777" w:rsidR="005F08B9" w:rsidRPr="0028461F" w:rsidRDefault="005F08B9" w:rsidP="00FA7102">
    <w:pPr>
      <w:ind w:left="5529"/>
    </w:pPr>
    <w:r w:rsidRPr="0028461F">
      <w:t xml:space="preserve">VĮ Turto banko generalinio direktoriaus  </w:t>
    </w:r>
  </w:p>
  <w:p w14:paraId="4FB339A0" w14:textId="77777777" w:rsidR="005F08B9" w:rsidRDefault="005F08B9" w:rsidP="00FA7102">
    <w:pPr>
      <w:ind w:left="5529" w:hanging="141"/>
    </w:pPr>
    <w:r>
      <w:t xml:space="preserve">   </w:t>
    </w:r>
    <w:r w:rsidRPr="0028461F">
      <w:t>202</w:t>
    </w:r>
    <w:r>
      <w:t>4</w:t>
    </w:r>
    <w:r w:rsidRPr="0028461F">
      <w:t xml:space="preserve"> m. </w:t>
    </w:r>
    <w:r>
      <w:t>lapkričio</w:t>
    </w:r>
    <w:r w:rsidRPr="0028461F">
      <w:t xml:space="preserve"> </w:t>
    </w:r>
    <w:r>
      <w:t>___</w:t>
    </w:r>
    <w:r w:rsidRPr="0028461F">
      <w:t xml:space="preserve"> d. įsakymu Nr. P1-</w:t>
    </w:r>
    <w:r>
      <w:t>_</w:t>
    </w:r>
  </w:p>
  <w:p w14:paraId="29B694BB" w14:textId="77777777" w:rsidR="005F08B9" w:rsidRPr="0092182E" w:rsidRDefault="005F08B9" w:rsidP="00FA7102">
    <w:pPr>
      <w:pStyle w:val="Antrats"/>
      <w:tabs>
        <w:tab w:val="left" w:pos="4395"/>
      </w:tabs>
      <w:ind w:left="552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96963"/>
    <w:multiLevelType w:val="hybridMultilevel"/>
    <w:tmpl w:val="7E285956"/>
    <w:lvl w:ilvl="0" w:tplc="0409000F">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 w15:restartNumberingAfterBreak="0">
    <w:nsid w:val="14831502"/>
    <w:multiLevelType w:val="hybridMultilevel"/>
    <w:tmpl w:val="3A1E00C4"/>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7E8624B"/>
    <w:multiLevelType w:val="hybridMultilevel"/>
    <w:tmpl w:val="AD307B36"/>
    <w:lvl w:ilvl="0" w:tplc="4D0A0B44">
      <w:start w:val="1"/>
      <w:numFmt w:val="decimal"/>
      <w:lvlText w:val="%1."/>
      <w:lvlJc w:val="left"/>
      <w:pPr>
        <w:ind w:left="927" w:hanging="360"/>
      </w:pPr>
      <w:rPr>
        <w:rFonts w:ascii="Times New Roman" w:eastAsia="Times New Roman" w:hAnsi="Times New Roman" w:cs="Times New Roman"/>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 w15:restartNumberingAfterBreak="0">
    <w:nsid w:val="18D55175"/>
    <w:multiLevelType w:val="hybridMultilevel"/>
    <w:tmpl w:val="3A1E00C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1026F5"/>
    <w:multiLevelType w:val="hybridMultilevel"/>
    <w:tmpl w:val="1A62951A"/>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06D3050"/>
    <w:multiLevelType w:val="hybridMultilevel"/>
    <w:tmpl w:val="4A30860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0940027"/>
    <w:multiLevelType w:val="multilevel"/>
    <w:tmpl w:val="D2AE1C00"/>
    <w:lvl w:ilvl="0">
      <w:start w:val="1"/>
      <w:numFmt w:val="decimal"/>
      <w:lvlText w:val="%1."/>
      <w:lvlJc w:val="left"/>
      <w:pPr>
        <w:ind w:left="420" w:hanging="360"/>
      </w:pPr>
      <w:rPr>
        <w:rFonts w:hint="default"/>
      </w:rPr>
    </w:lvl>
    <w:lvl w:ilvl="1">
      <w:start w:val="1"/>
      <w:numFmt w:val="decimal"/>
      <w:isLgl/>
      <w:lvlText w:val="%1.%2."/>
      <w:lvlJc w:val="left"/>
      <w:pPr>
        <w:ind w:left="643" w:hanging="360"/>
      </w:pPr>
      <w:rPr>
        <w:rFonts w:hint="default"/>
      </w:rPr>
    </w:lvl>
    <w:lvl w:ilvl="2">
      <w:start w:val="1"/>
      <w:numFmt w:val="decimal"/>
      <w:isLgl/>
      <w:lvlText w:val="%1.%2.%3."/>
      <w:lvlJc w:val="left"/>
      <w:pPr>
        <w:ind w:left="1226" w:hanging="720"/>
      </w:pPr>
      <w:rPr>
        <w:rFonts w:hint="default"/>
      </w:rPr>
    </w:lvl>
    <w:lvl w:ilvl="3">
      <w:start w:val="1"/>
      <w:numFmt w:val="decimal"/>
      <w:isLgl/>
      <w:lvlText w:val="%1.%2.%3.%4."/>
      <w:lvlJc w:val="left"/>
      <w:pPr>
        <w:ind w:left="1449" w:hanging="720"/>
      </w:pPr>
      <w:rPr>
        <w:rFonts w:hint="default"/>
      </w:rPr>
    </w:lvl>
    <w:lvl w:ilvl="4">
      <w:start w:val="1"/>
      <w:numFmt w:val="decimal"/>
      <w:isLgl/>
      <w:lvlText w:val="%1.%2.%3.%4.%5."/>
      <w:lvlJc w:val="left"/>
      <w:pPr>
        <w:ind w:left="2032" w:hanging="1080"/>
      </w:pPr>
      <w:rPr>
        <w:rFonts w:hint="default"/>
      </w:rPr>
    </w:lvl>
    <w:lvl w:ilvl="5">
      <w:start w:val="1"/>
      <w:numFmt w:val="decimal"/>
      <w:isLgl/>
      <w:lvlText w:val="%1.%2.%3.%4.%5.%6."/>
      <w:lvlJc w:val="left"/>
      <w:pPr>
        <w:ind w:left="2255" w:hanging="1080"/>
      </w:pPr>
      <w:rPr>
        <w:rFonts w:hint="default"/>
      </w:rPr>
    </w:lvl>
    <w:lvl w:ilvl="6">
      <w:start w:val="1"/>
      <w:numFmt w:val="decimal"/>
      <w:isLgl/>
      <w:lvlText w:val="%1.%2.%3.%4.%5.%6.%7."/>
      <w:lvlJc w:val="left"/>
      <w:pPr>
        <w:ind w:left="2838" w:hanging="1440"/>
      </w:pPr>
      <w:rPr>
        <w:rFonts w:hint="default"/>
      </w:rPr>
    </w:lvl>
    <w:lvl w:ilvl="7">
      <w:start w:val="1"/>
      <w:numFmt w:val="decimal"/>
      <w:isLgl/>
      <w:lvlText w:val="%1.%2.%3.%4.%5.%6.%7.%8."/>
      <w:lvlJc w:val="left"/>
      <w:pPr>
        <w:ind w:left="3061" w:hanging="1440"/>
      </w:pPr>
      <w:rPr>
        <w:rFonts w:hint="default"/>
      </w:rPr>
    </w:lvl>
    <w:lvl w:ilvl="8">
      <w:start w:val="1"/>
      <w:numFmt w:val="decimal"/>
      <w:isLgl/>
      <w:lvlText w:val="%1.%2.%3.%4.%5.%6.%7.%8.%9."/>
      <w:lvlJc w:val="left"/>
      <w:pPr>
        <w:ind w:left="3644" w:hanging="1800"/>
      </w:pPr>
      <w:rPr>
        <w:rFonts w:hint="default"/>
      </w:rPr>
    </w:lvl>
  </w:abstractNum>
  <w:abstractNum w:abstractNumId="7" w15:restartNumberingAfterBreak="0">
    <w:nsid w:val="25ED25C9"/>
    <w:multiLevelType w:val="hybridMultilevel"/>
    <w:tmpl w:val="598CABFA"/>
    <w:lvl w:ilvl="0" w:tplc="05F4D072">
      <w:start w:val="1"/>
      <w:numFmt w:val="decimal"/>
      <w:lvlText w:val="%1."/>
      <w:lvlJc w:val="left"/>
      <w:pPr>
        <w:ind w:left="502" w:hanging="360"/>
      </w:pPr>
      <w:rPr>
        <w:rFonts w:ascii="Times New Roman" w:eastAsia="Times New Roman" w:hAnsi="Times New Roman" w:cs="Times New Roman"/>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15:restartNumberingAfterBreak="0">
    <w:nsid w:val="29E876EB"/>
    <w:multiLevelType w:val="multilevel"/>
    <w:tmpl w:val="C82840FE"/>
    <w:lvl w:ilvl="0">
      <w:start w:val="1"/>
      <w:numFmt w:val="decimal"/>
      <w:lvlText w:val="%1."/>
      <w:lvlJc w:val="left"/>
      <w:pPr>
        <w:ind w:left="644" w:hanging="360"/>
      </w:pPr>
      <w:rPr>
        <w:rFonts w:hint="default"/>
        <w:i w:val="0"/>
      </w:rPr>
    </w:lvl>
    <w:lvl w:ilvl="1">
      <w:start w:val="1"/>
      <w:numFmt w:val="decimal"/>
      <w:isLgl/>
      <w:lvlText w:val="%1.%2."/>
      <w:lvlJc w:val="left"/>
      <w:pPr>
        <w:ind w:left="1047" w:hanging="48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9" w15:restartNumberingAfterBreak="0">
    <w:nsid w:val="2B756F0B"/>
    <w:multiLevelType w:val="hybridMultilevel"/>
    <w:tmpl w:val="A4D05006"/>
    <w:lvl w:ilvl="0" w:tplc="830616FC">
      <w:start w:val="1"/>
      <w:numFmt w:val="decimal"/>
      <w:lvlText w:val="%1."/>
      <w:lvlJc w:val="left"/>
      <w:pPr>
        <w:ind w:left="1080" w:hanging="360"/>
      </w:pPr>
      <w:rPr>
        <w:rFonts w:ascii="Times New Roman" w:eastAsia="Times New Roman" w:hAnsi="Times New Roman" w:cs="Times New Roman"/>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2DC7621B"/>
    <w:multiLevelType w:val="hybridMultilevel"/>
    <w:tmpl w:val="6130D5E2"/>
    <w:lvl w:ilvl="0" w:tplc="0427000F">
      <w:start w:val="1"/>
      <w:numFmt w:val="decimal"/>
      <w:lvlText w:val="%1."/>
      <w:lvlJc w:val="left"/>
      <w:pPr>
        <w:ind w:left="643" w:hanging="360"/>
      </w:pPr>
      <w:rPr>
        <w:rFonts w:hint="default"/>
      </w:rPr>
    </w:lvl>
    <w:lvl w:ilvl="1" w:tplc="04270019" w:tentative="1">
      <w:start w:val="1"/>
      <w:numFmt w:val="lowerLetter"/>
      <w:lvlText w:val="%2."/>
      <w:lvlJc w:val="left"/>
      <w:pPr>
        <w:ind w:left="1363" w:hanging="360"/>
      </w:pPr>
    </w:lvl>
    <w:lvl w:ilvl="2" w:tplc="0427001B" w:tentative="1">
      <w:start w:val="1"/>
      <w:numFmt w:val="lowerRoman"/>
      <w:lvlText w:val="%3."/>
      <w:lvlJc w:val="right"/>
      <w:pPr>
        <w:ind w:left="2083" w:hanging="180"/>
      </w:pPr>
    </w:lvl>
    <w:lvl w:ilvl="3" w:tplc="0427000F" w:tentative="1">
      <w:start w:val="1"/>
      <w:numFmt w:val="decimal"/>
      <w:lvlText w:val="%4."/>
      <w:lvlJc w:val="left"/>
      <w:pPr>
        <w:ind w:left="2803" w:hanging="360"/>
      </w:pPr>
    </w:lvl>
    <w:lvl w:ilvl="4" w:tplc="04270019" w:tentative="1">
      <w:start w:val="1"/>
      <w:numFmt w:val="lowerLetter"/>
      <w:lvlText w:val="%5."/>
      <w:lvlJc w:val="left"/>
      <w:pPr>
        <w:ind w:left="3523" w:hanging="360"/>
      </w:pPr>
    </w:lvl>
    <w:lvl w:ilvl="5" w:tplc="0427001B" w:tentative="1">
      <w:start w:val="1"/>
      <w:numFmt w:val="lowerRoman"/>
      <w:lvlText w:val="%6."/>
      <w:lvlJc w:val="right"/>
      <w:pPr>
        <w:ind w:left="4243" w:hanging="180"/>
      </w:pPr>
    </w:lvl>
    <w:lvl w:ilvl="6" w:tplc="0427000F" w:tentative="1">
      <w:start w:val="1"/>
      <w:numFmt w:val="decimal"/>
      <w:lvlText w:val="%7."/>
      <w:lvlJc w:val="left"/>
      <w:pPr>
        <w:ind w:left="4963" w:hanging="360"/>
      </w:pPr>
    </w:lvl>
    <w:lvl w:ilvl="7" w:tplc="04270019" w:tentative="1">
      <w:start w:val="1"/>
      <w:numFmt w:val="lowerLetter"/>
      <w:lvlText w:val="%8."/>
      <w:lvlJc w:val="left"/>
      <w:pPr>
        <w:ind w:left="5683" w:hanging="360"/>
      </w:pPr>
    </w:lvl>
    <w:lvl w:ilvl="8" w:tplc="0427001B" w:tentative="1">
      <w:start w:val="1"/>
      <w:numFmt w:val="lowerRoman"/>
      <w:lvlText w:val="%9."/>
      <w:lvlJc w:val="right"/>
      <w:pPr>
        <w:ind w:left="6403" w:hanging="180"/>
      </w:pPr>
    </w:lvl>
  </w:abstractNum>
  <w:abstractNum w:abstractNumId="11" w15:restartNumberingAfterBreak="0">
    <w:nsid w:val="32AB0A10"/>
    <w:multiLevelType w:val="hybridMultilevel"/>
    <w:tmpl w:val="32D446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2FC1E42"/>
    <w:multiLevelType w:val="multilevel"/>
    <w:tmpl w:val="F6D0562C"/>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37021517"/>
    <w:multiLevelType w:val="hybridMultilevel"/>
    <w:tmpl w:val="AA6A55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A3E1EAE"/>
    <w:multiLevelType w:val="hybridMultilevel"/>
    <w:tmpl w:val="050602FA"/>
    <w:lvl w:ilvl="0" w:tplc="B404A9A8">
      <w:start w:val="1"/>
      <w:numFmt w:val="decimal"/>
      <w:lvlText w:val="%1."/>
      <w:lvlJc w:val="left"/>
      <w:pPr>
        <w:ind w:left="720" w:hanging="360"/>
      </w:pPr>
      <w:rPr>
        <w:i w:val="0"/>
        <w:iCs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3A5B71BC"/>
    <w:multiLevelType w:val="multilevel"/>
    <w:tmpl w:val="C82840FE"/>
    <w:lvl w:ilvl="0">
      <w:start w:val="1"/>
      <w:numFmt w:val="decimal"/>
      <w:lvlText w:val="%1."/>
      <w:lvlJc w:val="left"/>
      <w:pPr>
        <w:ind w:left="644" w:hanging="360"/>
      </w:pPr>
      <w:rPr>
        <w:rFonts w:hint="default"/>
        <w:i w:val="0"/>
      </w:rPr>
    </w:lvl>
    <w:lvl w:ilvl="1">
      <w:start w:val="1"/>
      <w:numFmt w:val="decimal"/>
      <w:isLgl/>
      <w:lvlText w:val="%1.%2."/>
      <w:lvlJc w:val="left"/>
      <w:pPr>
        <w:ind w:left="1047" w:hanging="48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6" w15:restartNumberingAfterBreak="0">
    <w:nsid w:val="3D6A56D1"/>
    <w:multiLevelType w:val="hybridMultilevel"/>
    <w:tmpl w:val="542EE1DE"/>
    <w:lvl w:ilvl="0" w:tplc="90CEA956">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3D936190"/>
    <w:multiLevelType w:val="hybridMultilevel"/>
    <w:tmpl w:val="27BCE1C4"/>
    <w:lvl w:ilvl="0" w:tplc="3488BE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EA21B6A"/>
    <w:multiLevelType w:val="hybridMultilevel"/>
    <w:tmpl w:val="AA18E2C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40787CD1"/>
    <w:multiLevelType w:val="hybridMultilevel"/>
    <w:tmpl w:val="E31C466A"/>
    <w:lvl w:ilvl="0" w:tplc="21423984">
      <w:start w:val="3"/>
      <w:numFmt w:val="bullet"/>
      <w:lvlText w:val="-"/>
      <w:lvlJc w:val="left"/>
      <w:pPr>
        <w:ind w:left="1211" w:hanging="360"/>
      </w:pPr>
      <w:rPr>
        <w:rFonts w:ascii="Times New Roman" w:eastAsia="Times New Roman" w:hAnsi="Times New Roman" w:cs="Times New Roman"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20" w15:restartNumberingAfterBreak="0">
    <w:nsid w:val="415C29CC"/>
    <w:multiLevelType w:val="hybridMultilevel"/>
    <w:tmpl w:val="AA6A5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6F02A2"/>
    <w:multiLevelType w:val="hybridMultilevel"/>
    <w:tmpl w:val="DAAA6782"/>
    <w:lvl w:ilvl="0" w:tplc="ECD0A404">
      <w:start w:val="1"/>
      <w:numFmt w:val="decimal"/>
      <w:lvlText w:val="%1."/>
      <w:lvlJc w:val="left"/>
      <w:pPr>
        <w:ind w:left="611" w:hanging="360"/>
      </w:pPr>
    </w:lvl>
    <w:lvl w:ilvl="1" w:tplc="04270019">
      <w:start w:val="1"/>
      <w:numFmt w:val="lowerLetter"/>
      <w:lvlText w:val="%2."/>
      <w:lvlJc w:val="left"/>
      <w:pPr>
        <w:ind w:left="1331" w:hanging="360"/>
      </w:pPr>
    </w:lvl>
    <w:lvl w:ilvl="2" w:tplc="0427001B">
      <w:start w:val="1"/>
      <w:numFmt w:val="lowerRoman"/>
      <w:lvlText w:val="%3."/>
      <w:lvlJc w:val="right"/>
      <w:pPr>
        <w:ind w:left="2051" w:hanging="180"/>
      </w:pPr>
    </w:lvl>
    <w:lvl w:ilvl="3" w:tplc="0427000F">
      <w:start w:val="1"/>
      <w:numFmt w:val="decimal"/>
      <w:lvlText w:val="%4."/>
      <w:lvlJc w:val="left"/>
      <w:pPr>
        <w:ind w:left="2771" w:hanging="360"/>
      </w:pPr>
    </w:lvl>
    <w:lvl w:ilvl="4" w:tplc="04270019">
      <w:start w:val="1"/>
      <w:numFmt w:val="lowerLetter"/>
      <w:lvlText w:val="%5."/>
      <w:lvlJc w:val="left"/>
      <w:pPr>
        <w:ind w:left="3491" w:hanging="360"/>
      </w:pPr>
    </w:lvl>
    <w:lvl w:ilvl="5" w:tplc="0427001B">
      <w:start w:val="1"/>
      <w:numFmt w:val="lowerRoman"/>
      <w:lvlText w:val="%6."/>
      <w:lvlJc w:val="right"/>
      <w:pPr>
        <w:ind w:left="4211" w:hanging="180"/>
      </w:pPr>
    </w:lvl>
    <w:lvl w:ilvl="6" w:tplc="0427000F">
      <w:start w:val="1"/>
      <w:numFmt w:val="decimal"/>
      <w:lvlText w:val="%7."/>
      <w:lvlJc w:val="left"/>
      <w:pPr>
        <w:ind w:left="4931" w:hanging="360"/>
      </w:pPr>
    </w:lvl>
    <w:lvl w:ilvl="7" w:tplc="04270019">
      <w:start w:val="1"/>
      <w:numFmt w:val="lowerLetter"/>
      <w:lvlText w:val="%8."/>
      <w:lvlJc w:val="left"/>
      <w:pPr>
        <w:ind w:left="5651" w:hanging="360"/>
      </w:pPr>
    </w:lvl>
    <w:lvl w:ilvl="8" w:tplc="0427001B">
      <w:start w:val="1"/>
      <w:numFmt w:val="lowerRoman"/>
      <w:lvlText w:val="%9."/>
      <w:lvlJc w:val="right"/>
      <w:pPr>
        <w:ind w:left="6371" w:hanging="180"/>
      </w:pPr>
    </w:lvl>
  </w:abstractNum>
  <w:abstractNum w:abstractNumId="22" w15:restartNumberingAfterBreak="0">
    <w:nsid w:val="47FC4AF4"/>
    <w:multiLevelType w:val="multilevel"/>
    <w:tmpl w:val="C82840FE"/>
    <w:lvl w:ilvl="0">
      <w:start w:val="1"/>
      <w:numFmt w:val="decimal"/>
      <w:lvlText w:val="%1."/>
      <w:lvlJc w:val="left"/>
      <w:pPr>
        <w:ind w:left="644" w:hanging="360"/>
      </w:pPr>
      <w:rPr>
        <w:rFonts w:hint="default"/>
        <w:i w:val="0"/>
      </w:rPr>
    </w:lvl>
    <w:lvl w:ilvl="1">
      <w:start w:val="1"/>
      <w:numFmt w:val="decimal"/>
      <w:isLgl/>
      <w:lvlText w:val="%1.%2."/>
      <w:lvlJc w:val="left"/>
      <w:pPr>
        <w:ind w:left="1047" w:hanging="48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23" w15:restartNumberingAfterBreak="0">
    <w:nsid w:val="4B2B68B5"/>
    <w:multiLevelType w:val="hybridMultilevel"/>
    <w:tmpl w:val="C540D9DA"/>
    <w:lvl w:ilvl="0" w:tplc="FF1EB030">
      <w:start w:val="1"/>
      <w:numFmt w:val="decimal"/>
      <w:lvlText w:val="%1."/>
      <w:lvlJc w:val="left"/>
      <w:pPr>
        <w:ind w:left="720" w:hanging="360"/>
      </w:pPr>
      <w:rPr>
        <w:rFonts w:hint="default"/>
        <w:b w:val="0"/>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4C691B4F"/>
    <w:multiLevelType w:val="multilevel"/>
    <w:tmpl w:val="9C9CB662"/>
    <w:lvl w:ilvl="0">
      <w:start w:val="9"/>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5" w15:restartNumberingAfterBreak="0">
    <w:nsid w:val="4D1977CF"/>
    <w:multiLevelType w:val="hybridMultilevel"/>
    <w:tmpl w:val="2A58BEAA"/>
    <w:lvl w:ilvl="0" w:tplc="502886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D6904D8"/>
    <w:multiLevelType w:val="hybridMultilevel"/>
    <w:tmpl w:val="450C6DF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4DC41057"/>
    <w:multiLevelType w:val="hybridMultilevel"/>
    <w:tmpl w:val="61A6B3DE"/>
    <w:lvl w:ilvl="0" w:tplc="016CE60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8" w15:restartNumberingAfterBreak="0">
    <w:nsid w:val="52D57E72"/>
    <w:multiLevelType w:val="hybridMultilevel"/>
    <w:tmpl w:val="6F58FAE6"/>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9" w15:restartNumberingAfterBreak="0">
    <w:nsid w:val="536D3226"/>
    <w:multiLevelType w:val="hybridMultilevel"/>
    <w:tmpl w:val="4DEE23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57F345CB"/>
    <w:multiLevelType w:val="hybridMultilevel"/>
    <w:tmpl w:val="20362E4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57F4736C"/>
    <w:multiLevelType w:val="hybridMultilevel"/>
    <w:tmpl w:val="4C3617A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58613B50"/>
    <w:multiLevelType w:val="hybridMultilevel"/>
    <w:tmpl w:val="079EAB4C"/>
    <w:lvl w:ilvl="0" w:tplc="3A928118">
      <w:start w:val="202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C51E95"/>
    <w:multiLevelType w:val="hybridMultilevel"/>
    <w:tmpl w:val="011E1C7E"/>
    <w:lvl w:ilvl="0" w:tplc="444467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4" w15:restartNumberingAfterBreak="0">
    <w:nsid w:val="5EB3423A"/>
    <w:multiLevelType w:val="hybridMultilevel"/>
    <w:tmpl w:val="C68C8A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E83AB2"/>
    <w:multiLevelType w:val="hybridMultilevel"/>
    <w:tmpl w:val="15F606AC"/>
    <w:lvl w:ilvl="0" w:tplc="1CD46D2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6" w15:restartNumberingAfterBreak="0">
    <w:nsid w:val="649E4BD3"/>
    <w:multiLevelType w:val="hybridMultilevel"/>
    <w:tmpl w:val="AA18E2C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15:restartNumberingAfterBreak="0">
    <w:nsid w:val="6FC66009"/>
    <w:multiLevelType w:val="hybridMultilevel"/>
    <w:tmpl w:val="EC12025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8" w15:restartNumberingAfterBreak="0">
    <w:nsid w:val="70803D33"/>
    <w:multiLevelType w:val="hybridMultilevel"/>
    <w:tmpl w:val="780867C0"/>
    <w:lvl w:ilvl="0" w:tplc="FFFFFFFF">
      <w:start w:val="1"/>
      <w:numFmt w:val="decimal"/>
      <w:lvlText w:val="%1."/>
      <w:lvlJc w:val="left"/>
      <w:pPr>
        <w:ind w:left="1495" w:hanging="360"/>
      </w:pPr>
      <w:rPr>
        <w:rFonts w:hint="default"/>
      </w:rPr>
    </w:lvl>
    <w:lvl w:ilvl="1" w:tplc="FFFFFFFF" w:tentative="1">
      <w:start w:val="1"/>
      <w:numFmt w:val="lowerLetter"/>
      <w:lvlText w:val="%2."/>
      <w:lvlJc w:val="left"/>
      <w:pPr>
        <w:ind w:left="2215"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39" w15:restartNumberingAfterBreak="0">
    <w:nsid w:val="71D12CBC"/>
    <w:multiLevelType w:val="hybridMultilevel"/>
    <w:tmpl w:val="E9F86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C26062"/>
    <w:multiLevelType w:val="hybridMultilevel"/>
    <w:tmpl w:val="8E1071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C3A0290"/>
    <w:multiLevelType w:val="hybridMultilevel"/>
    <w:tmpl w:val="C0D8A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F557C8"/>
    <w:multiLevelType w:val="hybridMultilevel"/>
    <w:tmpl w:val="780867C0"/>
    <w:lvl w:ilvl="0" w:tplc="0409000F">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3" w15:restartNumberingAfterBreak="0">
    <w:nsid w:val="7F953EAF"/>
    <w:multiLevelType w:val="hybridMultilevel"/>
    <w:tmpl w:val="0C30DD78"/>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16cid:durableId="1464732295">
    <w:abstractNumId w:val="9"/>
  </w:num>
  <w:num w:numId="2" w16cid:durableId="1009680300">
    <w:abstractNumId w:val="37"/>
  </w:num>
  <w:num w:numId="3" w16cid:durableId="317807130">
    <w:abstractNumId w:val="6"/>
  </w:num>
  <w:num w:numId="4" w16cid:durableId="150733013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3865948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4101578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76649202">
    <w:abstractNumId w:val="15"/>
  </w:num>
  <w:num w:numId="8" w16cid:durableId="54934427">
    <w:abstractNumId w:val="8"/>
  </w:num>
  <w:num w:numId="9" w16cid:durableId="200672060">
    <w:abstractNumId w:val="22"/>
  </w:num>
  <w:num w:numId="10" w16cid:durableId="1356344103">
    <w:abstractNumId w:val="29"/>
  </w:num>
  <w:num w:numId="11" w16cid:durableId="1838224308">
    <w:abstractNumId w:val="26"/>
  </w:num>
  <w:num w:numId="12" w16cid:durableId="2048021706">
    <w:abstractNumId w:val="36"/>
  </w:num>
  <w:num w:numId="13" w16cid:durableId="1918829107">
    <w:abstractNumId w:val="18"/>
  </w:num>
  <w:num w:numId="14" w16cid:durableId="72245143">
    <w:abstractNumId w:val="30"/>
  </w:num>
  <w:num w:numId="15" w16cid:durableId="1339966456">
    <w:abstractNumId w:val="31"/>
  </w:num>
  <w:num w:numId="16" w16cid:durableId="1847090909">
    <w:abstractNumId w:val="4"/>
  </w:num>
  <w:num w:numId="17" w16cid:durableId="515733225">
    <w:abstractNumId w:val="23"/>
  </w:num>
  <w:num w:numId="18" w16cid:durableId="1336762910">
    <w:abstractNumId w:val="2"/>
  </w:num>
  <w:num w:numId="19" w16cid:durableId="1651862539">
    <w:abstractNumId w:val="5"/>
  </w:num>
  <w:num w:numId="20" w16cid:durableId="1511604882">
    <w:abstractNumId w:val="16"/>
  </w:num>
  <w:num w:numId="21" w16cid:durableId="1328635166">
    <w:abstractNumId w:val="14"/>
  </w:num>
  <w:num w:numId="22" w16cid:durableId="1791195107">
    <w:abstractNumId w:val="32"/>
  </w:num>
  <w:num w:numId="23" w16cid:durableId="292295929">
    <w:abstractNumId w:val="20"/>
  </w:num>
  <w:num w:numId="24" w16cid:durableId="494809028">
    <w:abstractNumId w:val="0"/>
  </w:num>
  <w:num w:numId="25" w16cid:durableId="1258907662">
    <w:abstractNumId w:val="12"/>
  </w:num>
  <w:num w:numId="26" w16cid:durableId="173037424">
    <w:abstractNumId w:val="17"/>
  </w:num>
  <w:num w:numId="27" w16cid:durableId="1874272201">
    <w:abstractNumId w:val="3"/>
  </w:num>
  <w:num w:numId="28" w16cid:durableId="792598260">
    <w:abstractNumId w:val="24"/>
  </w:num>
  <w:num w:numId="29" w16cid:durableId="1443915272">
    <w:abstractNumId w:val="35"/>
  </w:num>
  <w:num w:numId="30" w16cid:durableId="2050375603">
    <w:abstractNumId w:val="39"/>
  </w:num>
  <w:num w:numId="31" w16cid:durableId="1707220388">
    <w:abstractNumId w:val="41"/>
  </w:num>
  <w:num w:numId="32" w16cid:durableId="1217399813">
    <w:abstractNumId w:val="42"/>
  </w:num>
  <w:num w:numId="33" w16cid:durableId="1785153283">
    <w:abstractNumId w:val="27"/>
  </w:num>
  <w:num w:numId="34" w16cid:durableId="416486715">
    <w:abstractNumId w:val="1"/>
  </w:num>
  <w:num w:numId="35" w16cid:durableId="2097315112">
    <w:abstractNumId w:val="38"/>
  </w:num>
  <w:num w:numId="36" w16cid:durableId="506556430">
    <w:abstractNumId w:val="19"/>
  </w:num>
  <w:num w:numId="37" w16cid:durableId="302469957">
    <w:abstractNumId w:val="7"/>
  </w:num>
  <w:num w:numId="38" w16cid:durableId="1425103781">
    <w:abstractNumId w:val="13"/>
  </w:num>
  <w:num w:numId="39" w16cid:durableId="1044258728">
    <w:abstractNumId w:val="33"/>
  </w:num>
  <w:num w:numId="40" w16cid:durableId="352927693">
    <w:abstractNumId w:val="34"/>
  </w:num>
  <w:num w:numId="41" w16cid:durableId="2135517998">
    <w:abstractNumId w:val="11"/>
  </w:num>
  <w:num w:numId="42" w16cid:durableId="231504861">
    <w:abstractNumId w:val="25"/>
  </w:num>
  <w:num w:numId="43" w16cid:durableId="1121070651">
    <w:abstractNumId w:val="40"/>
  </w:num>
  <w:num w:numId="44" w16cid:durableId="4586451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8B9"/>
    <w:rsid w:val="005F08B9"/>
    <w:rsid w:val="00680CB4"/>
    <w:rsid w:val="007E6D1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846D1"/>
  <w15:chartTrackingRefBased/>
  <w15:docId w15:val="{73B1F713-FF10-4D56-BE93-C87382A68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qFormat/>
    <w:rsid w:val="005F08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5F08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5F08B9"/>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5F08B9"/>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5F08B9"/>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5F08B9"/>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5F08B9"/>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5F08B9"/>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5F08B9"/>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5F08B9"/>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5F08B9"/>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5F08B9"/>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5F08B9"/>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5F08B9"/>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5F08B9"/>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5F08B9"/>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5F08B9"/>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5F08B9"/>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5F08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5F08B9"/>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5F08B9"/>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5F08B9"/>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5F08B9"/>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5F08B9"/>
    <w:rPr>
      <w:i/>
      <w:iCs/>
      <w:color w:val="404040" w:themeColor="text1" w:themeTint="BF"/>
    </w:rPr>
  </w:style>
  <w:style w:type="paragraph" w:styleId="Sraopastraipa">
    <w:name w:val="List Paragraph"/>
    <w:aliases w:val="List not in Table,Para 0,Párrafo de lista1,Paragrafo elenco1,Bullets,Paragraphe de liste"/>
    <w:basedOn w:val="prastasis"/>
    <w:link w:val="SraopastraipaDiagrama"/>
    <w:uiPriority w:val="34"/>
    <w:qFormat/>
    <w:rsid w:val="005F08B9"/>
    <w:pPr>
      <w:ind w:left="720"/>
      <w:contextualSpacing/>
    </w:pPr>
  </w:style>
  <w:style w:type="character" w:styleId="Rykuspabraukimas">
    <w:name w:val="Intense Emphasis"/>
    <w:basedOn w:val="Numatytasispastraiposriftas"/>
    <w:uiPriority w:val="21"/>
    <w:qFormat/>
    <w:rsid w:val="005F08B9"/>
    <w:rPr>
      <w:i/>
      <w:iCs/>
      <w:color w:val="0F4761" w:themeColor="accent1" w:themeShade="BF"/>
    </w:rPr>
  </w:style>
  <w:style w:type="paragraph" w:styleId="Iskirtacitata">
    <w:name w:val="Intense Quote"/>
    <w:basedOn w:val="prastasis"/>
    <w:next w:val="prastasis"/>
    <w:link w:val="IskirtacitataDiagrama"/>
    <w:uiPriority w:val="30"/>
    <w:qFormat/>
    <w:rsid w:val="005F08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5F08B9"/>
    <w:rPr>
      <w:i/>
      <w:iCs/>
      <w:color w:val="0F4761" w:themeColor="accent1" w:themeShade="BF"/>
    </w:rPr>
  </w:style>
  <w:style w:type="character" w:styleId="Rykinuoroda">
    <w:name w:val="Intense Reference"/>
    <w:basedOn w:val="Numatytasispastraiposriftas"/>
    <w:uiPriority w:val="32"/>
    <w:qFormat/>
    <w:rsid w:val="005F08B9"/>
    <w:rPr>
      <w:b/>
      <w:bCs/>
      <w:smallCaps/>
      <w:color w:val="0F4761" w:themeColor="accent1" w:themeShade="BF"/>
      <w:spacing w:val="5"/>
    </w:rPr>
  </w:style>
  <w:style w:type="table" w:customStyle="1" w:styleId="Lentelstinklelis1">
    <w:name w:val="Lentelės tinklelis1"/>
    <w:basedOn w:val="prastojilentel"/>
    <w:next w:val="Lentelstinklelis"/>
    <w:uiPriority w:val="59"/>
    <w:rsid w:val="005F08B9"/>
    <w:pPr>
      <w:spacing w:after="0" w:line="240" w:lineRule="auto"/>
    </w:pPr>
    <w:rPr>
      <w:rFonts w:ascii="Times New Roman" w:eastAsia="Calibri" w:hAnsi="Times New Roman" w:cs="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entelstinklelis">
    <w:name w:val="Table Grid"/>
    <w:basedOn w:val="prastojilentel"/>
    <w:uiPriority w:val="39"/>
    <w:rsid w:val="005F08B9"/>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5F08B9"/>
    <w:pPr>
      <w:tabs>
        <w:tab w:val="center" w:pos="4819"/>
        <w:tab w:val="right" w:pos="9638"/>
      </w:tabs>
      <w:spacing w:after="0" w:line="240" w:lineRule="auto"/>
    </w:pPr>
    <w:rPr>
      <w:rFonts w:ascii="Times New Roman" w:eastAsia="Times New Roman" w:hAnsi="Times New Roman" w:cs="Times New Roman"/>
      <w:kern w:val="0"/>
      <w:sz w:val="24"/>
      <w:szCs w:val="24"/>
      <w14:ligatures w14:val="none"/>
    </w:rPr>
  </w:style>
  <w:style w:type="character" w:customStyle="1" w:styleId="AntratsDiagrama">
    <w:name w:val="Antraštės Diagrama"/>
    <w:basedOn w:val="Numatytasispastraiposriftas"/>
    <w:link w:val="Antrats"/>
    <w:uiPriority w:val="99"/>
    <w:rsid w:val="005F08B9"/>
    <w:rPr>
      <w:rFonts w:ascii="Times New Roman" w:eastAsia="Times New Roman" w:hAnsi="Times New Roman" w:cs="Times New Roman"/>
      <w:kern w:val="0"/>
      <w:sz w:val="24"/>
      <w:szCs w:val="24"/>
      <w14:ligatures w14:val="none"/>
    </w:rPr>
  </w:style>
  <w:style w:type="character" w:customStyle="1" w:styleId="SraopastraipaDiagrama">
    <w:name w:val="Sąrašo pastraipa Diagrama"/>
    <w:aliases w:val="List not in Table Diagrama,Para 0 Diagrama,Párrafo de lista1 Diagrama,Paragrafo elenco1 Diagrama,Bullets Diagrama,Paragraphe de liste Diagrama"/>
    <w:link w:val="Sraopastraipa"/>
    <w:uiPriority w:val="34"/>
    <w:locked/>
    <w:rsid w:val="005F08B9"/>
  </w:style>
  <w:style w:type="character" w:styleId="Grietas">
    <w:name w:val="Strong"/>
    <w:qFormat/>
    <w:rsid w:val="005F08B9"/>
    <w:rPr>
      <w:b/>
      <w:bCs/>
    </w:rPr>
  </w:style>
  <w:style w:type="character" w:styleId="Emfaz">
    <w:name w:val="Emphasis"/>
    <w:qFormat/>
    <w:rsid w:val="005F08B9"/>
    <w:rPr>
      <w:i/>
      <w:iCs/>
    </w:rPr>
  </w:style>
  <w:style w:type="paragraph" w:styleId="Debesliotekstas">
    <w:name w:val="Balloon Text"/>
    <w:basedOn w:val="prastasis"/>
    <w:link w:val="DebesliotekstasDiagrama"/>
    <w:uiPriority w:val="99"/>
    <w:semiHidden/>
    <w:unhideWhenUsed/>
    <w:rsid w:val="005F08B9"/>
    <w:pPr>
      <w:spacing w:after="0" w:line="240" w:lineRule="auto"/>
    </w:pPr>
    <w:rPr>
      <w:rFonts w:ascii="Tahoma" w:eastAsia="Times New Roman" w:hAnsi="Tahoma" w:cs="Tahoma"/>
      <w:kern w:val="0"/>
      <w:sz w:val="16"/>
      <w:szCs w:val="16"/>
      <w14:ligatures w14:val="none"/>
    </w:rPr>
  </w:style>
  <w:style w:type="character" w:customStyle="1" w:styleId="DebesliotekstasDiagrama">
    <w:name w:val="Debesėlio tekstas Diagrama"/>
    <w:basedOn w:val="Numatytasispastraiposriftas"/>
    <w:link w:val="Debesliotekstas"/>
    <w:uiPriority w:val="99"/>
    <w:semiHidden/>
    <w:rsid w:val="005F08B9"/>
    <w:rPr>
      <w:rFonts w:ascii="Tahoma" w:eastAsia="Times New Roman" w:hAnsi="Tahoma" w:cs="Tahoma"/>
      <w:kern w:val="0"/>
      <w:sz w:val="16"/>
      <w:szCs w:val="16"/>
      <w14:ligatures w14:val="none"/>
    </w:rPr>
  </w:style>
  <w:style w:type="paragraph" w:customStyle="1" w:styleId="Puslapioinaostekstas1">
    <w:name w:val="Puslapio išnašos tekstas1"/>
    <w:basedOn w:val="prastasis"/>
    <w:next w:val="Puslapioinaostekstas"/>
    <w:link w:val="PuslapioinaostekstasDiagrama"/>
    <w:uiPriority w:val="99"/>
    <w:unhideWhenUsed/>
    <w:rsid w:val="005F08B9"/>
    <w:pPr>
      <w:spacing w:after="0" w:line="240" w:lineRule="auto"/>
    </w:pPr>
    <w:rPr>
      <w:rFonts w:ascii="Times New Roman" w:eastAsia="Calibri" w:hAnsi="Times New Roman" w:cs="Times New Roman"/>
      <w:kern w:val="0"/>
      <w:sz w:val="20"/>
      <w:szCs w:val="20"/>
      <w14:ligatures w14:val="none"/>
    </w:rPr>
  </w:style>
  <w:style w:type="character" w:customStyle="1" w:styleId="PuslapioinaostekstasDiagrama">
    <w:name w:val="Puslapio išnašos tekstas Diagrama"/>
    <w:basedOn w:val="Numatytasispastraiposriftas"/>
    <w:link w:val="Puslapioinaostekstas1"/>
    <w:uiPriority w:val="99"/>
    <w:rsid w:val="005F08B9"/>
    <w:rPr>
      <w:rFonts w:ascii="Times New Roman" w:eastAsia="Calibri" w:hAnsi="Times New Roman" w:cs="Times New Roman"/>
      <w:kern w:val="0"/>
      <w:sz w:val="20"/>
      <w:szCs w:val="20"/>
      <w14:ligatures w14:val="none"/>
    </w:rPr>
  </w:style>
  <w:style w:type="character" w:styleId="Puslapioinaosnuoroda">
    <w:name w:val="footnote reference"/>
    <w:basedOn w:val="Numatytasispastraiposriftas"/>
    <w:unhideWhenUsed/>
    <w:rsid w:val="005F08B9"/>
    <w:rPr>
      <w:vertAlign w:val="superscript"/>
    </w:rPr>
  </w:style>
  <w:style w:type="paragraph" w:customStyle="1" w:styleId="BodyText1">
    <w:name w:val="Body Text1"/>
    <w:basedOn w:val="prastasis"/>
    <w:rsid w:val="005F08B9"/>
    <w:pPr>
      <w:suppressAutoHyphens/>
      <w:autoSpaceDE w:val="0"/>
      <w:autoSpaceDN w:val="0"/>
      <w:adjustRightInd w:val="0"/>
      <w:spacing w:after="0" w:line="298" w:lineRule="auto"/>
      <w:ind w:firstLine="312"/>
      <w:jc w:val="both"/>
      <w:textAlignment w:val="center"/>
    </w:pPr>
    <w:rPr>
      <w:rFonts w:ascii="Times New Roman" w:eastAsia="Times New Roman" w:hAnsi="Times New Roman" w:cs="Times New Roman"/>
      <w:color w:val="000000"/>
      <w:kern w:val="0"/>
      <w:sz w:val="20"/>
      <w:szCs w:val="20"/>
      <w:lang w:val="en-US" w:eastAsia="lt-LT"/>
      <w14:ligatures w14:val="none"/>
    </w:rPr>
  </w:style>
  <w:style w:type="paragraph" w:styleId="Puslapioinaostekstas">
    <w:name w:val="footnote text"/>
    <w:basedOn w:val="prastasis"/>
    <w:link w:val="PuslapioinaostekstasDiagrama1"/>
    <w:unhideWhenUsed/>
    <w:rsid w:val="005F08B9"/>
    <w:pPr>
      <w:spacing w:after="0" w:line="240" w:lineRule="auto"/>
    </w:pPr>
    <w:rPr>
      <w:rFonts w:ascii="Times New Roman" w:eastAsia="Times New Roman" w:hAnsi="Times New Roman" w:cs="Times New Roman"/>
      <w:kern w:val="0"/>
      <w:sz w:val="20"/>
      <w:szCs w:val="20"/>
      <w14:ligatures w14:val="none"/>
    </w:rPr>
  </w:style>
  <w:style w:type="character" w:customStyle="1" w:styleId="PuslapioinaostekstasDiagrama1">
    <w:name w:val="Puslapio išnašos tekstas Diagrama1"/>
    <w:basedOn w:val="Numatytasispastraiposriftas"/>
    <w:link w:val="Puslapioinaostekstas"/>
    <w:rsid w:val="005F08B9"/>
    <w:rPr>
      <w:rFonts w:ascii="Times New Roman" w:eastAsia="Times New Roman" w:hAnsi="Times New Roman" w:cs="Times New Roman"/>
      <w:kern w:val="0"/>
      <w:sz w:val="20"/>
      <w:szCs w:val="20"/>
      <w14:ligatures w14:val="none"/>
    </w:rPr>
  </w:style>
  <w:style w:type="character" w:styleId="Komentaronuoroda">
    <w:name w:val="annotation reference"/>
    <w:basedOn w:val="Numatytasispastraiposriftas"/>
    <w:uiPriority w:val="99"/>
    <w:semiHidden/>
    <w:unhideWhenUsed/>
    <w:rsid w:val="005F08B9"/>
    <w:rPr>
      <w:sz w:val="16"/>
      <w:szCs w:val="16"/>
    </w:rPr>
  </w:style>
  <w:style w:type="paragraph" w:styleId="Komentarotekstas">
    <w:name w:val="annotation text"/>
    <w:basedOn w:val="prastasis"/>
    <w:link w:val="KomentarotekstasDiagrama"/>
    <w:uiPriority w:val="99"/>
    <w:unhideWhenUsed/>
    <w:rsid w:val="005F08B9"/>
    <w:pPr>
      <w:spacing w:after="0" w:line="240" w:lineRule="auto"/>
    </w:pPr>
    <w:rPr>
      <w:rFonts w:ascii="Times New Roman" w:eastAsia="Times New Roman" w:hAnsi="Times New Roman" w:cs="Times New Roman"/>
      <w:kern w:val="0"/>
      <w:sz w:val="20"/>
      <w:szCs w:val="20"/>
      <w14:ligatures w14:val="none"/>
    </w:rPr>
  </w:style>
  <w:style w:type="character" w:customStyle="1" w:styleId="KomentarotekstasDiagrama">
    <w:name w:val="Komentaro tekstas Diagrama"/>
    <w:basedOn w:val="Numatytasispastraiposriftas"/>
    <w:link w:val="Komentarotekstas"/>
    <w:uiPriority w:val="99"/>
    <w:rsid w:val="005F08B9"/>
    <w:rPr>
      <w:rFonts w:ascii="Times New Roman" w:eastAsia="Times New Roman" w:hAnsi="Times New Roman" w:cs="Times New Roman"/>
      <w:kern w:val="0"/>
      <w:sz w:val="20"/>
      <w:szCs w:val="20"/>
      <w14:ligatures w14:val="none"/>
    </w:rPr>
  </w:style>
  <w:style w:type="paragraph" w:styleId="Komentarotema">
    <w:name w:val="annotation subject"/>
    <w:basedOn w:val="Komentarotekstas"/>
    <w:next w:val="Komentarotekstas"/>
    <w:link w:val="KomentarotemaDiagrama"/>
    <w:uiPriority w:val="99"/>
    <w:semiHidden/>
    <w:unhideWhenUsed/>
    <w:rsid w:val="005F08B9"/>
    <w:rPr>
      <w:b/>
      <w:bCs/>
    </w:rPr>
  </w:style>
  <w:style w:type="character" w:customStyle="1" w:styleId="KomentarotemaDiagrama">
    <w:name w:val="Komentaro tema Diagrama"/>
    <w:basedOn w:val="KomentarotekstasDiagrama"/>
    <w:link w:val="Komentarotema"/>
    <w:uiPriority w:val="99"/>
    <w:semiHidden/>
    <w:rsid w:val="005F08B9"/>
    <w:rPr>
      <w:rFonts w:ascii="Times New Roman" w:eastAsia="Times New Roman" w:hAnsi="Times New Roman" w:cs="Times New Roman"/>
      <w:b/>
      <w:bCs/>
      <w:kern w:val="0"/>
      <w:sz w:val="20"/>
      <w:szCs w:val="20"/>
      <w14:ligatures w14:val="none"/>
    </w:rPr>
  </w:style>
  <w:style w:type="paragraph" w:styleId="Pataisymai">
    <w:name w:val="Revision"/>
    <w:hidden/>
    <w:uiPriority w:val="99"/>
    <w:semiHidden/>
    <w:rsid w:val="005F08B9"/>
    <w:pPr>
      <w:spacing w:after="0" w:line="240" w:lineRule="auto"/>
    </w:pPr>
    <w:rPr>
      <w:rFonts w:ascii="Times New Roman" w:eastAsia="Times New Roman" w:hAnsi="Times New Roman" w:cs="Times New Roman"/>
      <w:kern w:val="0"/>
      <w:sz w:val="24"/>
      <w:szCs w:val="24"/>
      <w14:ligatures w14:val="none"/>
    </w:rPr>
  </w:style>
  <w:style w:type="paragraph" w:styleId="Porat">
    <w:name w:val="footer"/>
    <w:basedOn w:val="prastasis"/>
    <w:link w:val="PoratDiagrama"/>
    <w:uiPriority w:val="99"/>
    <w:unhideWhenUsed/>
    <w:rsid w:val="005F08B9"/>
    <w:pPr>
      <w:tabs>
        <w:tab w:val="center" w:pos="4819"/>
        <w:tab w:val="right" w:pos="9638"/>
      </w:tabs>
      <w:spacing w:after="0" w:line="240" w:lineRule="auto"/>
    </w:pPr>
    <w:rPr>
      <w:rFonts w:ascii="Times New Roman" w:eastAsia="Times New Roman" w:hAnsi="Times New Roman" w:cs="Times New Roman"/>
      <w:kern w:val="0"/>
      <w:sz w:val="24"/>
      <w:szCs w:val="24"/>
      <w14:ligatures w14:val="none"/>
    </w:rPr>
  </w:style>
  <w:style w:type="character" w:customStyle="1" w:styleId="PoratDiagrama">
    <w:name w:val="Poraštė Diagrama"/>
    <w:basedOn w:val="Numatytasispastraiposriftas"/>
    <w:link w:val="Porat"/>
    <w:uiPriority w:val="99"/>
    <w:rsid w:val="005F08B9"/>
    <w:rPr>
      <w:rFonts w:ascii="Times New Roman" w:eastAsia="Times New Roman" w:hAnsi="Times New Roman" w:cs="Times New Roman"/>
      <w:kern w:val="0"/>
      <w:sz w:val="24"/>
      <w:szCs w:val="24"/>
      <w14:ligatures w14:val="none"/>
    </w:rPr>
  </w:style>
  <w:style w:type="character" w:customStyle="1" w:styleId="dlxnowrap1">
    <w:name w:val="dlxnowrap1"/>
    <w:basedOn w:val="Numatytasispastraiposriftas"/>
    <w:rsid w:val="005F08B9"/>
  </w:style>
  <w:style w:type="paragraph" w:styleId="Betarp">
    <w:name w:val="No Spacing"/>
    <w:uiPriority w:val="1"/>
    <w:qFormat/>
    <w:rsid w:val="005F08B9"/>
    <w:pPr>
      <w:widowControl w:val="0"/>
      <w:suppressAutoHyphens/>
      <w:spacing w:after="0" w:line="240" w:lineRule="auto"/>
    </w:pPr>
    <w:rPr>
      <w:rFonts w:ascii="TimesLT" w:eastAsia="Times New Roman" w:hAnsi="TimesLT" w:cs="Times New Roman"/>
      <w:kern w:val="0"/>
      <w:szCs w:val="20"/>
      <w:lang w:eastAsia="ar-SA"/>
      <w14:ligatures w14:val="none"/>
    </w:rPr>
  </w:style>
  <w:style w:type="character" w:styleId="Hipersaitas">
    <w:name w:val="Hyperlink"/>
    <w:uiPriority w:val="99"/>
    <w:rsid w:val="005F08B9"/>
    <w:rPr>
      <w:color w:val="0000FF"/>
      <w:u w:val="single"/>
    </w:rPr>
  </w:style>
  <w:style w:type="paragraph" w:customStyle="1" w:styleId="bodytext">
    <w:name w:val="bodytext"/>
    <w:basedOn w:val="prastasis"/>
    <w:rsid w:val="005F08B9"/>
    <w:pPr>
      <w:spacing w:before="100" w:beforeAutospacing="1" w:after="100" w:afterAutospacing="1" w:line="240" w:lineRule="auto"/>
    </w:pPr>
    <w:rPr>
      <w:rFonts w:ascii="Times New Roman" w:eastAsia="Times New Roman" w:hAnsi="Times New Roman" w:cs="Times New Roman"/>
      <w:kern w:val="0"/>
      <w:sz w:val="24"/>
      <w:szCs w:val="24"/>
      <w:lang w:eastAsia="lt-LT"/>
      <w14:ligatures w14:val="none"/>
    </w:rPr>
  </w:style>
  <w:style w:type="character" w:styleId="Neapdorotaspaminjimas">
    <w:name w:val="Unresolved Mention"/>
    <w:basedOn w:val="Numatytasispastraiposriftas"/>
    <w:uiPriority w:val="99"/>
    <w:semiHidden/>
    <w:unhideWhenUsed/>
    <w:rsid w:val="005F08B9"/>
    <w:rPr>
      <w:color w:val="605E5C"/>
      <w:shd w:val="clear" w:color="auto" w:fill="E1DFDD"/>
    </w:rPr>
  </w:style>
  <w:style w:type="character" w:styleId="Perirtashipersaitas">
    <w:name w:val="FollowedHyperlink"/>
    <w:basedOn w:val="Numatytasispastraiposriftas"/>
    <w:uiPriority w:val="99"/>
    <w:semiHidden/>
    <w:unhideWhenUsed/>
    <w:rsid w:val="005F08B9"/>
    <w:rPr>
      <w:color w:val="96607D" w:themeColor="followedHyperlink"/>
      <w:u w:val="single"/>
    </w:rPr>
  </w:style>
  <w:style w:type="paragraph" w:customStyle="1" w:styleId="pf0">
    <w:name w:val="pf0"/>
    <w:basedOn w:val="prastasis"/>
    <w:rsid w:val="005F08B9"/>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cf01">
    <w:name w:val="cf01"/>
    <w:basedOn w:val="Numatytasispastraiposriftas"/>
    <w:rsid w:val="005F08B9"/>
    <w:rPr>
      <w:rFonts w:ascii="Segoe UI" w:hAnsi="Segoe UI" w:cs="Segoe UI" w:hint="default"/>
      <w:sz w:val="18"/>
      <w:szCs w:val="18"/>
      <w:shd w:val="clear" w:color="auto" w:fill="FFFFFF"/>
    </w:rPr>
  </w:style>
  <w:style w:type="character" w:customStyle="1" w:styleId="cf11">
    <w:name w:val="cf11"/>
    <w:basedOn w:val="Numatytasispastraiposriftas"/>
    <w:rsid w:val="005F08B9"/>
    <w:rPr>
      <w:rFonts w:ascii="Segoe UI" w:hAnsi="Segoe UI" w:cs="Segoe UI" w:hint="default"/>
      <w:sz w:val="18"/>
      <w:szCs w:val="18"/>
    </w:rPr>
  </w:style>
  <w:style w:type="paragraph" w:styleId="prastasiniatinklio">
    <w:name w:val="Normal (Web)"/>
    <w:basedOn w:val="prastasis"/>
    <w:uiPriority w:val="99"/>
    <w:semiHidden/>
    <w:unhideWhenUsed/>
    <w:rsid w:val="005F08B9"/>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pt.lrv.lt/lt/pirkimu-vykdymo-prieziura/isvados-ataskaitos/vertinimo-isvados-4/2024/ii-ketvirtis_/" TargetMode="External"/><Relationship Id="rId3" Type="http://schemas.openxmlformats.org/officeDocument/2006/relationships/settings" Target="settings.xml"/><Relationship Id="rId7" Type="http://schemas.openxmlformats.org/officeDocument/2006/relationships/hyperlink" Target="https://vpt.lrv.lt/lt/pirkimu-vykdymo-prieziura/isvados-ataskaitos/vertinimo-isvados-4/2024/ii-ketvirtis_/"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pt.lrv.lt/lt/pirkimu-vykdymo-prieziura/isvados-ataskaitos/vertinimo-isvados-4/2024/ii-ketvirtis_/" TargetMode="External"/><Relationship Id="rId11" Type="http://schemas.openxmlformats.org/officeDocument/2006/relationships/fontTable" Target="fontTable.xml"/><Relationship Id="rId5" Type="http://schemas.openxmlformats.org/officeDocument/2006/relationships/hyperlink" Target="https://e-seimas.lrs.lt/portal/legalAct/lt/TAK/b22fd600214a11eea0b6cad9848a9596?positionInSearchResults=0&amp;searchModelUUID=31f96fdf-499e-49dd-bf8d-79c534a1c06d"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21128</Words>
  <Characters>12044</Characters>
  <Application>Microsoft Office Word</Application>
  <DocSecurity>0</DocSecurity>
  <Lines>100</Lines>
  <Paragraphs>66</Paragraphs>
  <ScaleCrop>false</ScaleCrop>
  <Company/>
  <LinksUpToDate>false</LinksUpToDate>
  <CharactersWithSpaces>33106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VAITEKĖNAS, Paulius | Turto Bankas</dc:creator>
  <cp:keywords/>
  <dc:description/>
  <cp:lastModifiedBy>VAITEKĖNAS, Paulius | Turto Bankas</cp:lastModifiedBy>
  <cp:revision>1</cp:revision>
  <dcterms:created xsi:type="dcterms:W3CDTF">2024-11-26T12:52:00Z</dcterms:created>
  <dcterms:modified xsi:type="dcterms:W3CDTF">2024-11-26T12:55:00Z</dcterms:modified>
</cp:coreProperties>
</file>