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75" w:rsidRDefault="004F6E75" w:rsidP="00D416C1">
      <w:pPr>
        <w:pStyle w:val="Antrat"/>
        <w:ind w:right="-1"/>
        <w:rPr>
          <w:sz w:val="24"/>
        </w:rPr>
      </w:pP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 w:rsidR="00946ED9">
        <w:rPr>
          <w:szCs w:val="24"/>
        </w:rPr>
        <w:t xml:space="preserve"> vasario 19 d.</w:t>
      </w:r>
      <w:bookmarkStart w:id="0" w:name="_GoBack"/>
      <w:bookmarkEnd w:id="0"/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946ED9">
        <w:rPr>
          <w:szCs w:val="24"/>
        </w:rPr>
        <w:t>8</w:t>
      </w:r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675756" w:rsidRDefault="00B406B2" w:rsidP="00116772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</w:p>
    <w:p w:rsidR="009220C2" w:rsidRPr="00271910" w:rsidRDefault="00262A95" w:rsidP="00B91B21">
      <w:pPr>
        <w:tabs>
          <w:tab w:val="left" w:pos="1134"/>
        </w:tabs>
        <w:jc w:val="both"/>
      </w:pPr>
      <w:r>
        <w:rPr>
          <w:szCs w:val="24"/>
        </w:rPr>
        <w:t xml:space="preserve">             </w:t>
      </w:r>
      <w:r w:rsidR="00B91B21">
        <w:rPr>
          <w:szCs w:val="24"/>
        </w:rPr>
        <w:t>p</w:t>
      </w:r>
      <w:r w:rsidR="004D0344">
        <w:rPr>
          <w:szCs w:val="24"/>
        </w:rPr>
        <w:t xml:space="preserve"> </w:t>
      </w:r>
      <w:r w:rsidR="00B406B2" w:rsidRPr="00EA263A">
        <w:rPr>
          <w:szCs w:val="24"/>
        </w:rPr>
        <w:t xml:space="preserve">e r d u o d u </w:t>
      </w:r>
      <w:r w:rsidR="00344F5A">
        <w:rPr>
          <w:szCs w:val="24"/>
        </w:rPr>
        <w:t xml:space="preserve"> </w:t>
      </w:r>
      <w:r w:rsidR="00344F5A" w:rsidRPr="00344F5A">
        <w:rPr>
          <w:szCs w:val="24"/>
          <w:lang w:eastAsia="lt-LT"/>
        </w:rPr>
        <w:t>Lietuvos Respublikos ekonomikos ir inovacijų ministerija</w:t>
      </w:r>
      <w:r w:rsidR="00344F5A">
        <w:rPr>
          <w:szCs w:val="24"/>
          <w:lang w:eastAsia="lt-LT"/>
        </w:rPr>
        <w:t>i</w:t>
      </w:r>
      <w:r w:rsidR="00F1010F">
        <w:t xml:space="preserve"> </w:t>
      </w:r>
      <w:r w:rsidR="00F1010F">
        <w:rPr>
          <w:color w:val="000000"/>
        </w:rPr>
        <w:t>jo</w:t>
      </w:r>
      <w:r w:rsidR="001B78D5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</w:t>
      </w:r>
      <w:r w:rsidR="00B406B2" w:rsidRPr="00AA0E89">
        <w:t xml:space="preserve">sutartį </w:t>
      </w:r>
      <w:r w:rsidR="00D938B5" w:rsidRPr="00AA0E89">
        <w:t>iki 203</w:t>
      </w:r>
      <w:r w:rsidR="00CC659E" w:rsidRPr="00AA0E89">
        <w:t>7</w:t>
      </w:r>
      <w:r w:rsidR="00D938B5" w:rsidRPr="00AA0E89">
        <w:t xml:space="preserve"> metų </w:t>
      </w:r>
      <w:r w:rsidR="00CC659E" w:rsidRPr="00AA0E89">
        <w:t>vasario 15</w:t>
      </w:r>
      <w:r w:rsidR="00D938B5" w:rsidRPr="00AA0E89">
        <w:t xml:space="preserve"> d.</w:t>
      </w:r>
      <w:r w:rsidR="004D0344" w:rsidRPr="00AA0E89">
        <w:rPr>
          <w:lang w:eastAsia="lt-LT"/>
        </w:rPr>
        <w:t xml:space="preserve"> </w:t>
      </w:r>
      <w:r w:rsidR="00B406B2" w:rsidRPr="00AA0E89">
        <w:t>laikinai neatlygintinai valdyti ir naudotis valstybei nuosavybės teise priklausan</w:t>
      </w:r>
      <w:r w:rsidR="004A5FD6" w:rsidRPr="00AA0E89">
        <w:t>tį</w:t>
      </w:r>
      <w:r w:rsidR="00B406B2" w:rsidRPr="00AA0E89">
        <w:t xml:space="preserve">, šiuo metu </w:t>
      </w:r>
      <w:r w:rsidR="00AA7494" w:rsidRPr="00AA0E89">
        <w:t>valstybės įmonės Turto banko</w:t>
      </w:r>
      <w:r w:rsidR="00B406B2" w:rsidRPr="00AA0E89">
        <w:t xml:space="preserve"> patikėjimo teise valdom</w:t>
      </w:r>
      <w:r w:rsidR="00A143A8" w:rsidRPr="00AA0E89">
        <w:t xml:space="preserve">ą </w:t>
      </w:r>
      <w:r w:rsidR="00277A97" w:rsidRPr="00AA0E89">
        <w:t>turtą:</w:t>
      </w:r>
      <w:r w:rsidR="009220C2" w:rsidRPr="00AA0E89">
        <w:t xml:space="preserve"> a</w:t>
      </w:r>
      <w:r w:rsidR="00AE6C2B" w:rsidRPr="00AA0E89">
        <w:t>dministracines patalpas</w:t>
      </w:r>
      <w:r w:rsidR="00AE6C2B" w:rsidRPr="00AE6C2B">
        <w:t xml:space="preserve"> </w:t>
      </w:r>
      <w:r w:rsidR="00F323E5">
        <w:t xml:space="preserve">Vilniuje, </w:t>
      </w:r>
      <w:r w:rsidR="00344F5A">
        <w:t>Gedimino pr. 38</w:t>
      </w:r>
      <w:r w:rsidR="00F323E5">
        <w:t xml:space="preserve"> (</w:t>
      </w:r>
      <w:r w:rsidR="00F323E5" w:rsidRPr="00F323E5">
        <w:rPr>
          <w:szCs w:val="24"/>
          <w:lang w:eastAsia="lt-LT"/>
        </w:rPr>
        <w:t>pa</w:t>
      </w:r>
      <w:r w:rsidR="00344F5A">
        <w:rPr>
          <w:szCs w:val="24"/>
          <w:lang w:eastAsia="lt-LT"/>
        </w:rPr>
        <w:t>stato</w:t>
      </w:r>
      <w:r w:rsidR="00F323E5" w:rsidRPr="00F323E5">
        <w:rPr>
          <w:szCs w:val="24"/>
          <w:lang w:eastAsia="lt-LT"/>
        </w:rPr>
        <w:t xml:space="preserve"> unikalus numeris – </w:t>
      </w:r>
      <w:r w:rsidR="00271910" w:rsidRPr="00271910">
        <w:rPr>
          <w:szCs w:val="24"/>
          <w:lang w:eastAsia="lt-LT"/>
        </w:rPr>
        <w:t>1097-2004-0013</w:t>
      </w:r>
      <w:r w:rsidR="00F323E5" w:rsidRPr="00F323E5">
        <w:rPr>
          <w:szCs w:val="24"/>
          <w:lang w:eastAsia="lt-LT"/>
        </w:rPr>
        <w:t>, pa</w:t>
      </w:r>
      <w:r w:rsidR="00344F5A">
        <w:rPr>
          <w:szCs w:val="24"/>
          <w:lang w:eastAsia="lt-LT"/>
        </w:rPr>
        <w:t>stato</w:t>
      </w:r>
      <w:r w:rsidR="00F323E5" w:rsidRPr="00F323E5">
        <w:rPr>
          <w:szCs w:val="24"/>
          <w:lang w:eastAsia="lt-LT"/>
        </w:rPr>
        <w:t xml:space="preserve"> bendras plotas – </w:t>
      </w:r>
      <w:r w:rsidR="00271910" w:rsidRPr="00271910">
        <w:t xml:space="preserve">10 850,65 </w:t>
      </w:r>
      <w:r w:rsidR="00F323E5" w:rsidRPr="00F323E5">
        <w:rPr>
          <w:szCs w:val="24"/>
          <w:lang w:eastAsia="lt-LT"/>
        </w:rPr>
        <w:t xml:space="preserve">kv. metro, </w:t>
      </w:r>
      <w:r w:rsidR="00271910" w:rsidRPr="00271910">
        <w:t>perduodamų patalpų indeksai – 2-39, 2-40, perduodamų patalpų bendras plotas – 58,06 kv. metro</w:t>
      </w:r>
      <w:r w:rsidR="00F323E5" w:rsidRPr="00F323E5">
        <w:rPr>
          <w:szCs w:val="24"/>
          <w:lang w:eastAsia="lt-LT"/>
        </w:rPr>
        <w:t xml:space="preserve">, dalis bendro naudojimo patalpų, kurių indeksai – </w:t>
      </w:r>
      <w:r w:rsidR="00271910" w:rsidRPr="00271910">
        <w:rPr>
          <w:szCs w:val="24"/>
          <w:lang w:eastAsia="lt-LT"/>
        </w:rPr>
        <w:t>R2-12, R1-68, nuo 1-1 iki 1-3, 1-13, 1-14, 1-27, 1-32 (2,10 kv. metro), 2-2, 2-12, nuo 2-16 iki 2-21, 2-36, 2-37, 2-46 (24,27 kv. metro), R1-29, R1-32, R1-33 (36,42 kv. metro)</w:t>
      </w:r>
      <w:r w:rsidR="00F323E5" w:rsidRPr="00F323E5">
        <w:rPr>
          <w:szCs w:val="24"/>
          <w:lang w:eastAsia="lt-LT"/>
        </w:rPr>
        <w:t xml:space="preserve">, </w:t>
      </w:r>
      <w:r w:rsidR="00972D01">
        <w:t>perduodamų bendro naudojimo patalpų dalies bendras plotas</w:t>
      </w:r>
      <w:r w:rsidR="00F323E5" w:rsidRPr="00F323E5">
        <w:rPr>
          <w:szCs w:val="24"/>
          <w:lang w:eastAsia="lt-LT"/>
        </w:rPr>
        <w:t xml:space="preserve"> – </w:t>
      </w:r>
      <w:r w:rsidR="00271910" w:rsidRPr="00271910">
        <w:rPr>
          <w:szCs w:val="24"/>
          <w:lang w:eastAsia="lt-LT"/>
        </w:rPr>
        <w:t>62,79</w:t>
      </w:r>
      <w:r w:rsidR="00F323E5" w:rsidRPr="00F323E5">
        <w:rPr>
          <w:szCs w:val="24"/>
          <w:lang w:eastAsia="lt-LT"/>
        </w:rPr>
        <w:t xml:space="preserve">  kv.  metro,  visų  perduodamų patalpų bendras plotas – </w:t>
      </w:r>
      <w:r w:rsidR="00271910" w:rsidRPr="00271910">
        <w:rPr>
          <w:szCs w:val="24"/>
          <w:lang w:eastAsia="lt-LT"/>
        </w:rPr>
        <w:t>120,85 kv. metro</w:t>
      </w:r>
      <w:r w:rsidR="00AE6C2B" w:rsidRPr="00271910">
        <w:rPr>
          <w:lang w:val="x-none"/>
        </w:rPr>
        <w:t>)</w:t>
      </w:r>
      <w:r w:rsidR="009220C2" w:rsidRPr="00271910">
        <w:t>.</w:t>
      </w:r>
    </w:p>
    <w:p w:rsidR="009220C2" w:rsidRDefault="009220C2" w:rsidP="00B91B21">
      <w:pPr>
        <w:tabs>
          <w:tab w:val="left" w:pos="1134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BF6E8B" w:rsidRDefault="00BF6E8B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5B41E0" w:rsidRDefault="005B41E0" w:rsidP="006270C1">
      <w:pPr>
        <w:jc w:val="both"/>
        <w:rPr>
          <w:szCs w:val="24"/>
        </w:rPr>
      </w:pPr>
      <w:r w:rsidRPr="005B41E0">
        <w:rPr>
          <w:szCs w:val="24"/>
        </w:rPr>
        <w:t xml:space="preserve">Valstybės nekilnojamojo turto strategijos </w:t>
      </w:r>
      <w:r>
        <w:rPr>
          <w:szCs w:val="24"/>
        </w:rPr>
        <w:t>įgyvendinimo</w:t>
      </w:r>
    </w:p>
    <w:p w:rsidR="005B41E0" w:rsidRDefault="005B41E0" w:rsidP="006270C1">
      <w:pPr>
        <w:jc w:val="both"/>
        <w:rPr>
          <w:szCs w:val="24"/>
        </w:rPr>
      </w:pPr>
      <w:r w:rsidRPr="00B128F7">
        <w:rPr>
          <w:szCs w:val="24"/>
        </w:rPr>
        <w:t>skyriaus vadovas</w:t>
      </w:r>
      <w:r>
        <w:rPr>
          <w:szCs w:val="24"/>
        </w:rPr>
        <w:t>, l</w:t>
      </w:r>
      <w:r w:rsidR="006936AE" w:rsidRPr="00B128F7">
        <w:rPr>
          <w:szCs w:val="24"/>
        </w:rPr>
        <w:t>. e. Valstybės nekilnojamojo turto</w:t>
      </w:r>
    </w:p>
    <w:p w:rsidR="006936AE" w:rsidRPr="00B128F7" w:rsidRDefault="006936AE" w:rsidP="006270C1">
      <w:pPr>
        <w:jc w:val="both"/>
        <w:rPr>
          <w:szCs w:val="24"/>
        </w:rPr>
      </w:pPr>
      <w:r w:rsidRPr="00B128F7">
        <w:rPr>
          <w:szCs w:val="24"/>
        </w:rPr>
        <w:t xml:space="preserve">strategijos departamento direktoriaus pareigas, </w:t>
      </w:r>
    </w:p>
    <w:p w:rsidR="006270C1" w:rsidRPr="00B128F7" w:rsidRDefault="006936AE" w:rsidP="006270C1">
      <w:pPr>
        <w:jc w:val="both"/>
        <w:rPr>
          <w:szCs w:val="24"/>
        </w:rPr>
      </w:pPr>
      <w:r w:rsidRPr="00B128F7">
        <w:rPr>
          <w:szCs w:val="24"/>
        </w:rPr>
        <w:t>laikinai atliekantis generalinio direktoriaus funkcijas</w:t>
      </w:r>
      <w:r w:rsidRPr="00B128F7">
        <w:rPr>
          <w:szCs w:val="24"/>
        </w:rPr>
        <w:tab/>
      </w:r>
      <w:r w:rsidRPr="00B128F7">
        <w:rPr>
          <w:szCs w:val="24"/>
        </w:rPr>
        <w:tab/>
      </w:r>
      <w:r w:rsidRPr="00B128F7">
        <w:rPr>
          <w:szCs w:val="24"/>
        </w:rPr>
        <w:tab/>
      </w:r>
      <w:r w:rsidR="00B128F7" w:rsidRPr="00B128F7">
        <w:rPr>
          <w:bCs/>
          <w:szCs w:val="24"/>
        </w:rPr>
        <w:t>Algirdas Stumbrys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116772">
      <w:pPr>
        <w:rPr>
          <w:szCs w:val="24"/>
        </w:rPr>
      </w:pPr>
      <w:r w:rsidRPr="00116772">
        <w:rPr>
          <w:szCs w:val="24"/>
        </w:rPr>
        <w:t>Rūta Motiejūnaitė</w:t>
      </w:r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088A"/>
    <w:rsid w:val="000A215A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2737D"/>
    <w:rsid w:val="00131670"/>
    <w:rsid w:val="0015322B"/>
    <w:rsid w:val="00183237"/>
    <w:rsid w:val="00197218"/>
    <w:rsid w:val="001A0B87"/>
    <w:rsid w:val="001B013F"/>
    <w:rsid w:val="001B78D5"/>
    <w:rsid w:val="001D120C"/>
    <w:rsid w:val="0020277C"/>
    <w:rsid w:val="00216A14"/>
    <w:rsid w:val="00224443"/>
    <w:rsid w:val="00225894"/>
    <w:rsid w:val="00232B6A"/>
    <w:rsid w:val="00233FD6"/>
    <w:rsid w:val="002439D5"/>
    <w:rsid w:val="00253C04"/>
    <w:rsid w:val="00254486"/>
    <w:rsid w:val="00262A95"/>
    <w:rsid w:val="00265D2E"/>
    <w:rsid w:val="00271910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44F5A"/>
    <w:rsid w:val="0035193F"/>
    <w:rsid w:val="00352CA5"/>
    <w:rsid w:val="00371F6E"/>
    <w:rsid w:val="00376989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4F6E75"/>
    <w:rsid w:val="005128DC"/>
    <w:rsid w:val="0054248A"/>
    <w:rsid w:val="005860A0"/>
    <w:rsid w:val="005A3058"/>
    <w:rsid w:val="005A4117"/>
    <w:rsid w:val="005B41E0"/>
    <w:rsid w:val="005C2953"/>
    <w:rsid w:val="005E1AA0"/>
    <w:rsid w:val="005E40ED"/>
    <w:rsid w:val="005F5DEE"/>
    <w:rsid w:val="006053C0"/>
    <w:rsid w:val="006229D5"/>
    <w:rsid w:val="006270C1"/>
    <w:rsid w:val="00675756"/>
    <w:rsid w:val="006936AE"/>
    <w:rsid w:val="006A13D2"/>
    <w:rsid w:val="006A1BF6"/>
    <w:rsid w:val="006E4EC8"/>
    <w:rsid w:val="00704E98"/>
    <w:rsid w:val="007622A3"/>
    <w:rsid w:val="007623F7"/>
    <w:rsid w:val="007709D5"/>
    <w:rsid w:val="00790116"/>
    <w:rsid w:val="00795D29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F5325"/>
    <w:rsid w:val="00906260"/>
    <w:rsid w:val="009220C2"/>
    <w:rsid w:val="00945D25"/>
    <w:rsid w:val="00946ED9"/>
    <w:rsid w:val="00951E48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80BF7"/>
    <w:rsid w:val="00A86E67"/>
    <w:rsid w:val="00AA0E89"/>
    <w:rsid w:val="00AA7494"/>
    <w:rsid w:val="00AD13EA"/>
    <w:rsid w:val="00AE6C2B"/>
    <w:rsid w:val="00AF32F8"/>
    <w:rsid w:val="00B128F7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BF6E8B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C659E"/>
    <w:rsid w:val="00CE3959"/>
    <w:rsid w:val="00CF43D5"/>
    <w:rsid w:val="00CF62FC"/>
    <w:rsid w:val="00D07E15"/>
    <w:rsid w:val="00D16128"/>
    <w:rsid w:val="00D17FE3"/>
    <w:rsid w:val="00D21D49"/>
    <w:rsid w:val="00D35C00"/>
    <w:rsid w:val="00D416C1"/>
    <w:rsid w:val="00D827D6"/>
    <w:rsid w:val="00D85963"/>
    <w:rsid w:val="00D90752"/>
    <w:rsid w:val="00D938B5"/>
    <w:rsid w:val="00DA06B2"/>
    <w:rsid w:val="00DA2F81"/>
    <w:rsid w:val="00DA6F82"/>
    <w:rsid w:val="00DA7F83"/>
    <w:rsid w:val="00DB1E60"/>
    <w:rsid w:val="00DC2B64"/>
    <w:rsid w:val="00DD1D25"/>
    <w:rsid w:val="00DE3B27"/>
    <w:rsid w:val="00E13F9A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F1010F"/>
    <w:rsid w:val="00F15622"/>
    <w:rsid w:val="00F21EDD"/>
    <w:rsid w:val="00F323E5"/>
    <w:rsid w:val="00F33B98"/>
    <w:rsid w:val="00F370B6"/>
    <w:rsid w:val="00F400F9"/>
    <w:rsid w:val="00F532B0"/>
    <w:rsid w:val="00F605A7"/>
    <w:rsid w:val="00F70B98"/>
    <w:rsid w:val="00F765F8"/>
    <w:rsid w:val="00F912AA"/>
    <w:rsid w:val="00F97AA3"/>
    <w:rsid w:val="00FA303C"/>
    <w:rsid w:val="00FB0930"/>
    <w:rsid w:val="00FB236E"/>
    <w:rsid w:val="00FB328E"/>
    <w:rsid w:val="00FB76B5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E2000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PETKEVICIUTE, Zivile</cp:lastModifiedBy>
  <cp:revision>2</cp:revision>
  <cp:lastPrinted>2019-01-04T08:31:00Z</cp:lastPrinted>
  <dcterms:created xsi:type="dcterms:W3CDTF">2019-02-19T08:22:00Z</dcterms:created>
  <dcterms:modified xsi:type="dcterms:W3CDTF">2019-02-19T08:22:00Z</dcterms:modified>
</cp:coreProperties>
</file>