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3E1" w:rsidRPr="003703E1" w:rsidRDefault="003703E1" w:rsidP="003703E1">
      <w:pPr>
        <w:pStyle w:val="Antrat"/>
        <w:ind w:right="1"/>
        <w:jc w:val="center"/>
        <w:rPr>
          <w:sz w:val="24"/>
          <w:lang w:val="lt-LT"/>
        </w:rPr>
      </w:pPr>
      <w:r w:rsidRPr="003703E1">
        <w:rPr>
          <w:noProof/>
          <w:sz w:val="28"/>
          <w:lang w:val="lt-LT" w:eastAsia="lt-LT"/>
        </w:rPr>
        <w:drawing>
          <wp:inline distT="0" distB="0" distL="0" distR="0" wp14:anchorId="64655286" wp14:editId="1E1BCDCD">
            <wp:extent cx="409575" cy="4095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3703E1" w:rsidRPr="003703E1" w:rsidRDefault="003703E1" w:rsidP="003703E1">
      <w:pPr>
        <w:widowControl/>
        <w:spacing w:line="276" w:lineRule="auto"/>
        <w:ind w:right="1"/>
        <w:jc w:val="center"/>
        <w:rPr>
          <w:b/>
          <w:sz w:val="24"/>
          <w:szCs w:val="24"/>
          <w:lang w:val="lt-LT"/>
        </w:rPr>
      </w:pPr>
      <w:r w:rsidRPr="003703E1">
        <w:rPr>
          <w:b/>
          <w:sz w:val="24"/>
          <w:szCs w:val="24"/>
          <w:lang w:val="lt-LT"/>
        </w:rPr>
        <w:t>VALSTYBĖS ĮMONĖS TURTO BANKO</w:t>
      </w:r>
    </w:p>
    <w:p w:rsidR="003703E1" w:rsidRPr="003703E1" w:rsidRDefault="003703E1" w:rsidP="003703E1">
      <w:pPr>
        <w:widowControl/>
        <w:spacing w:line="276" w:lineRule="auto"/>
        <w:ind w:right="1"/>
        <w:jc w:val="center"/>
        <w:rPr>
          <w:b/>
          <w:sz w:val="24"/>
          <w:szCs w:val="24"/>
          <w:lang w:val="lt-LT"/>
        </w:rPr>
      </w:pPr>
      <w:r w:rsidRPr="003703E1">
        <w:rPr>
          <w:b/>
          <w:sz w:val="24"/>
          <w:szCs w:val="24"/>
          <w:lang w:val="lt-LT"/>
        </w:rPr>
        <w:t>GENERALINIS DIREKTORIUS</w:t>
      </w:r>
    </w:p>
    <w:p w:rsidR="003703E1" w:rsidRPr="003703E1" w:rsidRDefault="003703E1" w:rsidP="003703E1">
      <w:pPr>
        <w:keepNext/>
        <w:widowControl/>
        <w:spacing w:line="276" w:lineRule="auto"/>
        <w:ind w:right="1"/>
        <w:jc w:val="center"/>
        <w:outlineLvl w:val="0"/>
        <w:rPr>
          <w:b/>
          <w:sz w:val="24"/>
          <w:szCs w:val="24"/>
          <w:lang w:val="lt-LT"/>
        </w:rPr>
      </w:pPr>
    </w:p>
    <w:p w:rsidR="003703E1" w:rsidRPr="003703E1" w:rsidRDefault="003703E1" w:rsidP="003703E1">
      <w:pPr>
        <w:keepNext/>
        <w:widowControl/>
        <w:spacing w:line="276" w:lineRule="auto"/>
        <w:ind w:right="1"/>
        <w:jc w:val="center"/>
        <w:outlineLvl w:val="0"/>
        <w:rPr>
          <w:b/>
          <w:sz w:val="24"/>
          <w:szCs w:val="24"/>
          <w:lang w:val="lt-LT"/>
        </w:rPr>
      </w:pPr>
      <w:r w:rsidRPr="003703E1">
        <w:rPr>
          <w:b/>
          <w:sz w:val="24"/>
          <w:szCs w:val="24"/>
          <w:lang w:val="lt-LT"/>
        </w:rPr>
        <w:t>ĮSAKYMAS</w:t>
      </w:r>
    </w:p>
    <w:p w:rsidR="003703E1" w:rsidRPr="003703E1" w:rsidRDefault="003703E1" w:rsidP="003703E1">
      <w:pPr>
        <w:keepNext/>
        <w:widowControl/>
        <w:spacing w:line="276" w:lineRule="auto"/>
        <w:ind w:right="1"/>
        <w:jc w:val="center"/>
        <w:outlineLvl w:val="0"/>
        <w:rPr>
          <w:b/>
          <w:sz w:val="24"/>
          <w:szCs w:val="24"/>
          <w:lang w:val="lt-LT"/>
        </w:rPr>
      </w:pPr>
      <w:r w:rsidRPr="003703E1">
        <w:rPr>
          <w:b/>
          <w:sz w:val="24"/>
          <w:lang w:val="lt-LT"/>
        </w:rPr>
        <w:t>DĖL VALSTYBĖS NEKILNOJAMOJO TURTO PERDAVIMO PATIKĖJIMO TEISE</w:t>
      </w:r>
    </w:p>
    <w:p w:rsidR="003703E1" w:rsidRPr="003703E1" w:rsidRDefault="003703E1" w:rsidP="003703E1">
      <w:pPr>
        <w:widowControl/>
        <w:spacing w:line="276" w:lineRule="auto"/>
        <w:ind w:right="-1"/>
        <w:jc w:val="center"/>
        <w:rPr>
          <w:sz w:val="24"/>
          <w:szCs w:val="24"/>
          <w:lang w:val="lt-LT"/>
        </w:rPr>
      </w:pPr>
    </w:p>
    <w:p w:rsidR="003703E1" w:rsidRPr="003703E1" w:rsidRDefault="003703E1" w:rsidP="003703E1">
      <w:pPr>
        <w:widowControl/>
        <w:spacing w:line="276" w:lineRule="auto"/>
        <w:ind w:right="-1"/>
        <w:jc w:val="center"/>
        <w:rPr>
          <w:sz w:val="24"/>
          <w:szCs w:val="24"/>
          <w:lang w:val="lt-LT"/>
        </w:rPr>
      </w:pPr>
      <w:r w:rsidRPr="003703E1">
        <w:rPr>
          <w:sz w:val="24"/>
          <w:szCs w:val="24"/>
          <w:lang w:val="lt-LT"/>
        </w:rPr>
        <w:t xml:space="preserve">2019 m. gegužės </w:t>
      </w:r>
      <w:r w:rsidR="006A37F9">
        <w:rPr>
          <w:sz w:val="24"/>
          <w:szCs w:val="24"/>
          <w:lang w:val="lt-LT"/>
        </w:rPr>
        <w:t xml:space="preserve">23 </w:t>
      </w:r>
      <w:r w:rsidRPr="003703E1">
        <w:rPr>
          <w:sz w:val="24"/>
          <w:szCs w:val="24"/>
          <w:lang w:val="lt-LT"/>
        </w:rPr>
        <w:t>d. Nr. P13-</w:t>
      </w:r>
      <w:r w:rsidR="006A37F9">
        <w:rPr>
          <w:sz w:val="24"/>
          <w:szCs w:val="24"/>
          <w:lang w:val="lt-LT"/>
        </w:rPr>
        <w:t>15</w:t>
      </w:r>
      <w:r w:rsidRPr="003703E1">
        <w:rPr>
          <w:sz w:val="24"/>
          <w:szCs w:val="24"/>
          <w:lang w:val="lt-LT"/>
        </w:rPr>
        <w:t xml:space="preserve"> </w:t>
      </w:r>
    </w:p>
    <w:p w:rsidR="003703E1" w:rsidRPr="003703E1" w:rsidRDefault="003703E1" w:rsidP="003703E1">
      <w:pPr>
        <w:widowControl/>
        <w:spacing w:line="276" w:lineRule="auto"/>
        <w:ind w:right="-1"/>
        <w:jc w:val="center"/>
        <w:rPr>
          <w:sz w:val="24"/>
          <w:szCs w:val="24"/>
          <w:lang w:val="lt-LT"/>
        </w:rPr>
      </w:pPr>
      <w:r w:rsidRPr="003703E1">
        <w:rPr>
          <w:sz w:val="24"/>
          <w:szCs w:val="24"/>
          <w:lang w:val="lt-LT"/>
        </w:rPr>
        <w:t>Vilnius</w:t>
      </w:r>
    </w:p>
    <w:p w:rsidR="003703E1" w:rsidRPr="003703E1" w:rsidRDefault="003703E1" w:rsidP="003703E1">
      <w:pPr>
        <w:widowControl/>
        <w:jc w:val="center"/>
        <w:rPr>
          <w:sz w:val="10"/>
          <w:szCs w:val="10"/>
          <w:lang w:val="lt-LT"/>
        </w:rPr>
      </w:pPr>
    </w:p>
    <w:p w:rsidR="003703E1" w:rsidRPr="003703E1" w:rsidRDefault="003703E1" w:rsidP="003703E1">
      <w:pPr>
        <w:widowControl/>
        <w:spacing w:line="360" w:lineRule="atLeast"/>
        <w:ind w:firstLine="709"/>
        <w:contextualSpacing/>
        <w:jc w:val="both"/>
        <w:rPr>
          <w:sz w:val="24"/>
          <w:szCs w:val="24"/>
          <w:lang w:val="lt-LT" w:eastAsia="lt-LT"/>
        </w:rPr>
      </w:pPr>
    </w:p>
    <w:p w:rsidR="003703E1" w:rsidRPr="003703E1" w:rsidRDefault="003703E1" w:rsidP="003703E1">
      <w:pPr>
        <w:widowControl/>
        <w:spacing w:line="276" w:lineRule="auto"/>
        <w:ind w:firstLine="709"/>
        <w:jc w:val="both"/>
        <w:rPr>
          <w:sz w:val="24"/>
          <w:szCs w:val="24"/>
          <w:lang w:val="lt-LT"/>
        </w:rPr>
      </w:pPr>
      <w:r w:rsidRPr="003703E1">
        <w:rPr>
          <w:sz w:val="24"/>
          <w:szCs w:val="24"/>
          <w:lang w:val="lt-LT"/>
        </w:rPr>
        <w:t>Vadovaudamasis Lietuvos Respublikos valstybės ir savivaldybių turto valdymo, naudojimo ir disponavimo juo įstatymo 10 straipsniu ir įgyvendindamas Valstybės turto perdavimo valdyti, naudoti ir disponuoti juo patikėjimo teise tvarkos aprašą, patvirtintą Lietuvos Respublikos Vyriausybės 2001 m. sausio 5 d. nutarimu Nr. 16 „Dėl Valstybės turto perdavimo valdyti, naudoti ir disponuoti juo patikėjimo teise tvarkos aprašo patvirtinimo“,</w:t>
      </w:r>
    </w:p>
    <w:p w:rsidR="003703E1" w:rsidRPr="003703E1" w:rsidRDefault="003703E1" w:rsidP="003703E1">
      <w:pPr>
        <w:widowControl/>
        <w:spacing w:line="276" w:lineRule="auto"/>
        <w:ind w:firstLine="709"/>
        <w:jc w:val="both"/>
        <w:rPr>
          <w:sz w:val="24"/>
          <w:lang w:val="lt-LT" w:eastAsia="lt-LT"/>
        </w:rPr>
      </w:pPr>
      <w:r w:rsidRPr="003703E1">
        <w:rPr>
          <w:sz w:val="24"/>
          <w:szCs w:val="24"/>
          <w:lang w:val="lt-LT"/>
        </w:rPr>
        <w:t xml:space="preserve">p e r d u o d u Lietuvos mokinių neformaliojo švietimo centrui </w:t>
      </w:r>
      <w:r w:rsidRPr="003703E1">
        <w:rPr>
          <w:sz w:val="24"/>
          <w:lang w:val="lt-LT"/>
        </w:rPr>
        <w:t xml:space="preserve">valdyti, naudoti ir disponuoti juo patikėjimo teise jos nuostatuose numatytai veiklai vykdyti valstybei nuosavybės teise priklausantį ir šiuo metu Lietuvos Respublikos švietimo, mokslo ir sporto ministerijos patikėjimo teise valdomą nekilnojamąjį turtą, esantį Klaipėdos rajono savivaldybėje, Kretingalės seniūnijoje, </w:t>
      </w:r>
      <w:proofErr w:type="spellStart"/>
      <w:r w:rsidRPr="003703E1">
        <w:rPr>
          <w:sz w:val="24"/>
          <w:lang w:val="lt-LT"/>
        </w:rPr>
        <w:t>Kukuliškių</w:t>
      </w:r>
      <w:proofErr w:type="spellEnd"/>
      <w:r w:rsidRPr="003703E1">
        <w:rPr>
          <w:sz w:val="24"/>
          <w:lang w:val="lt-LT"/>
        </w:rPr>
        <w:t xml:space="preserve"> kaime, Vydūno g. 2</w:t>
      </w:r>
      <w:r w:rsidRPr="003703E1">
        <w:rPr>
          <w:color w:val="000000"/>
          <w:sz w:val="24"/>
          <w:szCs w:val="24"/>
          <w:lang w:val="lt-LT" w:eastAsia="lt-LT"/>
        </w:rPr>
        <w:t xml:space="preserve">, kurio bendra likutinė vertė 2019 m. gegužės 31 d. – </w:t>
      </w:r>
      <w:r w:rsidRPr="003703E1">
        <w:rPr>
          <w:sz w:val="24"/>
          <w:szCs w:val="24"/>
          <w:lang w:val="lt-LT" w:eastAsia="lt-LT"/>
        </w:rPr>
        <w:t>389 058,60 Eur (pagal priedą).</w:t>
      </w:r>
    </w:p>
    <w:p w:rsidR="003703E1" w:rsidRDefault="003703E1" w:rsidP="003703E1">
      <w:pPr>
        <w:widowControl/>
        <w:spacing w:line="276" w:lineRule="auto"/>
        <w:ind w:left="1069"/>
        <w:contextualSpacing/>
        <w:jc w:val="both"/>
        <w:rPr>
          <w:sz w:val="24"/>
          <w:lang w:val="lt-LT" w:eastAsia="lt-LT"/>
        </w:rPr>
      </w:pPr>
    </w:p>
    <w:p w:rsidR="003703E1" w:rsidRPr="003703E1" w:rsidRDefault="003703E1" w:rsidP="003703E1">
      <w:pPr>
        <w:widowControl/>
        <w:spacing w:line="276" w:lineRule="auto"/>
        <w:ind w:left="1069"/>
        <w:contextualSpacing/>
        <w:jc w:val="both"/>
        <w:rPr>
          <w:sz w:val="24"/>
          <w:lang w:val="lt-LT" w:eastAsia="lt-LT"/>
        </w:rPr>
      </w:pPr>
    </w:p>
    <w:p w:rsidR="003703E1" w:rsidRPr="003703E1" w:rsidRDefault="003703E1" w:rsidP="003703E1">
      <w:pPr>
        <w:shd w:val="clear" w:color="auto" w:fill="FFFFFF"/>
        <w:jc w:val="both"/>
        <w:rPr>
          <w:color w:val="000000"/>
          <w:spacing w:val="-4"/>
          <w:sz w:val="24"/>
          <w:szCs w:val="24"/>
          <w:lang w:val="lt-LT"/>
        </w:rPr>
      </w:pPr>
      <w:r w:rsidRPr="003703E1">
        <w:rPr>
          <w:sz w:val="24"/>
          <w:szCs w:val="24"/>
          <w:lang w:val="lt-LT"/>
        </w:rPr>
        <w:t>Generalinis direktorius</w:t>
      </w:r>
      <w:r w:rsidRPr="003703E1">
        <w:rPr>
          <w:sz w:val="24"/>
          <w:szCs w:val="24"/>
          <w:lang w:val="lt-LT"/>
        </w:rPr>
        <w:tab/>
      </w:r>
      <w:r w:rsidRPr="003703E1">
        <w:rPr>
          <w:sz w:val="24"/>
          <w:szCs w:val="24"/>
          <w:lang w:val="lt-LT"/>
        </w:rPr>
        <w:tab/>
      </w:r>
      <w:r w:rsidRPr="003703E1">
        <w:rPr>
          <w:sz w:val="24"/>
          <w:szCs w:val="24"/>
          <w:lang w:val="lt-LT"/>
        </w:rPr>
        <w:tab/>
      </w:r>
      <w:r w:rsidRPr="003703E1">
        <w:rPr>
          <w:sz w:val="24"/>
          <w:szCs w:val="24"/>
          <w:lang w:val="lt-LT"/>
        </w:rPr>
        <w:tab/>
        <w:t xml:space="preserve">          </w:t>
      </w:r>
      <w:r>
        <w:rPr>
          <w:sz w:val="24"/>
          <w:szCs w:val="24"/>
          <w:lang w:val="lt-LT"/>
        </w:rPr>
        <w:t xml:space="preserve">              </w:t>
      </w:r>
      <w:r w:rsidRPr="003703E1">
        <w:rPr>
          <w:sz w:val="24"/>
          <w:szCs w:val="24"/>
          <w:lang w:val="lt-LT"/>
        </w:rPr>
        <w:t xml:space="preserve">    Mindaugas Sinkevičius</w:t>
      </w: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Default="003703E1" w:rsidP="003703E1">
      <w:pPr>
        <w:shd w:val="clear" w:color="auto" w:fill="FFFFFF"/>
        <w:jc w:val="both"/>
        <w:rPr>
          <w:color w:val="000000"/>
          <w:spacing w:val="-4"/>
          <w:sz w:val="24"/>
          <w:szCs w:val="24"/>
          <w:lang w:val="lt-LT"/>
        </w:rPr>
      </w:pPr>
    </w:p>
    <w:p w:rsidR="003703E1" w:rsidRDefault="003703E1" w:rsidP="003703E1">
      <w:pPr>
        <w:shd w:val="clear" w:color="auto" w:fill="FFFFFF"/>
        <w:jc w:val="both"/>
        <w:rPr>
          <w:color w:val="000000"/>
          <w:spacing w:val="-4"/>
          <w:sz w:val="24"/>
          <w:szCs w:val="24"/>
          <w:lang w:val="lt-LT"/>
        </w:rPr>
      </w:pPr>
    </w:p>
    <w:p w:rsid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shd w:val="clear" w:color="auto" w:fill="FFFFFF"/>
        <w:jc w:val="both"/>
        <w:rPr>
          <w:color w:val="000000"/>
          <w:spacing w:val="-4"/>
          <w:sz w:val="24"/>
          <w:szCs w:val="24"/>
          <w:lang w:val="lt-LT"/>
        </w:rPr>
      </w:pPr>
    </w:p>
    <w:p w:rsidR="003703E1" w:rsidRPr="003703E1" w:rsidRDefault="003703E1" w:rsidP="003703E1">
      <w:pPr>
        <w:widowControl/>
        <w:rPr>
          <w:sz w:val="24"/>
          <w:szCs w:val="24"/>
          <w:lang w:val="lt-LT"/>
        </w:rPr>
      </w:pPr>
      <w:r w:rsidRPr="003703E1">
        <w:rPr>
          <w:sz w:val="24"/>
          <w:szCs w:val="24"/>
          <w:lang w:val="lt-LT"/>
        </w:rPr>
        <w:t>Parengė:</w:t>
      </w:r>
    </w:p>
    <w:p w:rsidR="003703E1" w:rsidRPr="003703E1" w:rsidRDefault="003703E1" w:rsidP="003703E1">
      <w:pPr>
        <w:widowControl/>
        <w:rPr>
          <w:sz w:val="24"/>
          <w:szCs w:val="24"/>
          <w:lang w:val="lt-LT"/>
        </w:rPr>
      </w:pPr>
    </w:p>
    <w:p w:rsidR="003703E1" w:rsidRPr="003703E1" w:rsidRDefault="003703E1" w:rsidP="003703E1">
      <w:pPr>
        <w:widowControl/>
        <w:rPr>
          <w:sz w:val="24"/>
          <w:szCs w:val="24"/>
          <w:lang w:val="lt-LT"/>
        </w:rPr>
      </w:pPr>
      <w:r w:rsidRPr="003703E1">
        <w:rPr>
          <w:sz w:val="24"/>
          <w:szCs w:val="24"/>
          <w:lang w:val="lt-LT"/>
        </w:rPr>
        <w:t>Audrius Navickas</w:t>
      </w:r>
    </w:p>
    <w:p w:rsidR="003703E1" w:rsidRPr="003703E1" w:rsidRDefault="003703E1" w:rsidP="003703E1">
      <w:pPr>
        <w:widowControl/>
        <w:rPr>
          <w:sz w:val="24"/>
          <w:szCs w:val="24"/>
          <w:lang w:val="lt-LT"/>
        </w:rPr>
      </w:pPr>
      <w:r w:rsidRPr="003703E1">
        <w:rPr>
          <w:sz w:val="24"/>
          <w:szCs w:val="24"/>
          <w:lang w:val="lt-LT"/>
        </w:rPr>
        <w:t>2019-05-21</w:t>
      </w:r>
    </w:p>
    <w:p w:rsidR="000634DA" w:rsidRDefault="000634DA" w:rsidP="003703E1">
      <w:pPr>
        <w:jc w:val="center"/>
        <w:rPr>
          <w:color w:val="000000"/>
          <w:spacing w:val="-5"/>
          <w:sz w:val="24"/>
          <w:szCs w:val="24"/>
          <w:lang w:val="lt-LT"/>
        </w:rPr>
        <w:sectPr w:rsidR="000634DA" w:rsidSect="00F648E9">
          <w:type w:val="continuous"/>
          <w:pgSz w:w="11909" w:h="16834" w:code="9"/>
          <w:pgMar w:top="1134" w:right="567" w:bottom="1134" w:left="1701" w:header="567" w:footer="567" w:gutter="0"/>
          <w:cols w:space="60"/>
          <w:noEndnote/>
          <w:docGrid w:linePitch="272"/>
        </w:sectPr>
      </w:pPr>
    </w:p>
    <w:p w:rsidR="000634DA" w:rsidRPr="000634DA" w:rsidRDefault="000634DA" w:rsidP="000634DA">
      <w:pPr>
        <w:widowControl/>
        <w:tabs>
          <w:tab w:val="left" w:pos="6804"/>
        </w:tabs>
        <w:ind w:left="10348"/>
        <w:rPr>
          <w:sz w:val="24"/>
          <w:szCs w:val="24"/>
          <w:lang w:val="lt-LT" w:eastAsia="ar-SA"/>
        </w:rPr>
      </w:pPr>
      <w:r>
        <w:rPr>
          <w:sz w:val="24"/>
          <w:szCs w:val="24"/>
          <w:lang w:val="lt-LT" w:eastAsia="ar-SA"/>
        </w:rPr>
        <w:lastRenderedPageBreak/>
        <w:t>V</w:t>
      </w:r>
      <w:r w:rsidRPr="000634DA">
        <w:rPr>
          <w:sz w:val="24"/>
          <w:szCs w:val="24"/>
          <w:lang w:val="lt-LT" w:eastAsia="ar-SA"/>
        </w:rPr>
        <w:t xml:space="preserve">alstybės įmonės </w:t>
      </w:r>
      <w:r>
        <w:rPr>
          <w:sz w:val="24"/>
          <w:szCs w:val="24"/>
          <w:lang w:val="lt-LT" w:eastAsia="ar-SA"/>
        </w:rPr>
        <w:t>T</w:t>
      </w:r>
      <w:r w:rsidRPr="000634DA">
        <w:rPr>
          <w:sz w:val="24"/>
          <w:szCs w:val="24"/>
          <w:lang w:val="lt-LT" w:eastAsia="ar-SA"/>
        </w:rPr>
        <w:t>urto banko</w:t>
      </w:r>
    </w:p>
    <w:p w:rsidR="000634DA" w:rsidRPr="000634DA" w:rsidRDefault="000634DA" w:rsidP="000634DA">
      <w:pPr>
        <w:widowControl/>
        <w:tabs>
          <w:tab w:val="left" w:pos="6804"/>
        </w:tabs>
        <w:ind w:left="10348"/>
        <w:rPr>
          <w:sz w:val="24"/>
          <w:szCs w:val="24"/>
          <w:lang w:val="lt-LT" w:eastAsia="ar-SA"/>
        </w:rPr>
      </w:pPr>
      <w:r>
        <w:rPr>
          <w:sz w:val="24"/>
          <w:szCs w:val="24"/>
          <w:lang w:val="lt-LT" w:eastAsia="ar-SA"/>
        </w:rPr>
        <w:t>g</w:t>
      </w:r>
      <w:r w:rsidRPr="000634DA">
        <w:rPr>
          <w:sz w:val="24"/>
          <w:szCs w:val="24"/>
          <w:lang w:val="lt-LT" w:eastAsia="ar-SA"/>
        </w:rPr>
        <w:t>eneralini</w:t>
      </w:r>
      <w:r>
        <w:rPr>
          <w:sz w:val="24"/>
          <w:szCs w:val="24"/>
          <w:lang w:val="lt-LT" w:eastAsia="ar-SA"/>
        </w:rPr>
        <w:t xml:space="preserve">o </w:t>
      </w:r>
      <w:r w:rsidRPr="000634DA">
        <w:rPr>
          <w:sz w:val="24"/>
          <w:szCs w:val="24"/>
          <w:lang w:val="lt-LT" w:eastAsia="ar-SA"/>
        </w:rPr>
        <w:t>direktori</w:t>
      </w:r>
      <w:r>
        <w:rPr>
          <w:sz w:val="24"/>
          <w:szCs w:val="24"/>
          <w:lang w:val="lt-LT" w:eastAsia="ar-SA"/>
        </w:rPr>
        <w:t>a</w:t>
      </w:r>
      <w:r w:rsidRPr="000634DA">
        <w:rPr>
          <w:sz w:val="24"/>
          <w:szCs w:val="24"/>
          <w:lang w:val="lt-LT" w:eastAsia="ar-SA"/>
        </w:rPr>
        <w:t>us</w:t>
      </w:r>
      <w:r w:rsidRPr="000634DA">
        <w:rPr>
          <w:sz w:val="24"/>
          <w:szCs w:val="24"/>
          <w:lang w:val="lt-LT" w:eastAsia="ar-SA"/>
        </w:rPr>
        <w:br/>
        <w:t>201</w:t>
      </w:r>
      <w:r>
        <w:rPr>
          <w:sz w:val="24"/>
          <w:szCs w:val="24"/>
          <w:lang w:val="lt-LT" w:eastAsia="ar-SA"/>
        </w:rPr>
        <w:t>9</w:t>
      </w:r>
      <w:r w:rsidRPr="000634DA">
        <w:rPr>
          <w:sz w:val="24"/>
          <w:szCs w:val="24"/>
          <w:lang w:val="lt-LT" w:eastAsia="ar-SA"/>
        </w:rPr>
        <w:t xml:space="preserve"> m.</w:t>
      </w:r>
      <w:r w:rsidR="007859FC">
        <w:rPr>
          <w:sz w:val="24"/>
          <w:szCs w:val="24"/>
          <w:lang w:val="lt-LT" w:eastAsia="ar-SA"/>
        </w:rPr>
        <w:t xml:space="preserve"> gegužės 23 </w:t>
      </w:r>
      <w:r w:rsidRPr="000634DA">
        <w:rPr>
          <w:sz w:val="24"/>
          <w:szCs w:val="24"/>
          <w:lang w:val="lt-LT" w:eastAsia="ar-SA"/>
        </w:rPr>
        <w:t xml:space="preserve">d. </w:t>
      </w:r>
      <w:r>
        <w:rPr>
          <w:sz w:val="24"/>
          <w:szCs w:val="24"/>
          <w:lang w:val="lt-LT" w:eastAsia="ar-SA"/>
        </w:rPr>
        <w:t>įsakym</w:t>
      </w:r>
      <w:r w:rsidRPr="000634DA">
        <w:rPr>
          <w:sz w:val="24"/>
          <w:szCs w:val="24"/>
          <w:lang w:val="lt-LT" w:eastAsia="ar-SA"/>
        </w:rPr>
        <w:t>o Nr.</w:t>
      </w:r>
      <w:r w:rsidR="007859FC">
        <w:rPr>
          <w:sz w:val="24"/>
          <w:szCs w:val="24"/>
          <w:lang w:val="lt-LT" w:eastAsia="ar-SA"/>
        </w:rPr>
        <w:t xml:space="preserve"> P13-15</w:t>
      </w:r>
      <w:bookmarkStart w:id="0" w:name="_GoBack"/>
      <w:bookmarkEnd w:id="0"/>
      <w:r w:rsidRPr="000634DA">
        <w:rPr>
          <w:sz w:val="24"/>
          <w:szCs w:val="24"/>
          <w:lang w:val="lt-LT" w:eastAsia="ar-SA"/>
        </w:rPr>
        <w:t xml:space="preserve"> </w:t>
      </w:r>
      <w:r w:rsidRPr="000634DA">
        <w:rPr>
          <w:sz w:val="24"/>
          <w:szCs w:val="24"/>
          <w:lang w:val="lt-LT" w:eastAsia="ar-SA"/>
        </w:rPr>
        <w:br/>
        <w:t>priedas</w:t>
      </w:r>
    </w:p>
    <w:p w:rsidR="000634DA" w:rsidRPr="000634DA" w:rsidRDefault="000634DA" w:rsidP="000634DA">
      <w:pPr>
        <w:widowControl/>
        <w:tabs>
          <w:tab w:val="center" w:pos="4819"/>
          <w:tab w:val="left" w:pos="6237"/>
          <w:tab w:val="right" w:pos="9638"/>
        </w:tabs>
        <w:rPr>
          <w:sz w:val="24"/>
          <w:szCs w:val="24"/>
          <w:lang w:val="lt-LT"/>
        </w:rPr>
      </w:pPr>
    </w:p>
    <w:p w:rsidR="000634DA" w:rsidRDefault="000634DA" w:rsidP="000634DA">
      <w:pPr>
        <w:widowControl/>
        <w:tabs>
          <w:tab w:val="left" w:pos="7380"/>
        </w:tabs>
        <w:jc w:val="center"/>
        <w:rPr>
          <w:b/>
          <w:sz w:val="24"/>
          <w:szCs w:val="24"/>
          <w:lang w:val="lt-LT"/>
        </w:rPr>
      </w:pPr>
      <w:r w:rsidRPr="000634DA">
        <w:rPr>
          <w:b/>
          <w:sz w:val="24"/>
          <w:szCs w:val="24"/>
          <w:lang w:val="lt-LT"/>
        </w:rPr>
        <w:t xml:space="preserve">LIETUVOS MOKINIŲ NEFORMALIOJO ŠVIETIMO CENTRUI PERDUODAMO NEKILNOJAMOJO TURTO </w:t>
      </w:r>
    </w:p>
    <w:p w:rsidR="000634DA" w:rsidRDefault="000634DA" w:rsidP="000634DA">
      <w:pPr>
        <w:widowControl/>
        <w:tabs>
          <w:tab w:val="left" w:pos="7380"/>
        </w:tabs>
        <w:jc w:val="center"/>
        <w:rPr>
          <w:b/>
          <w:sz w:val="24"/>
          <w:szCs w:val="24"/>
          <w:lang w:val="lt-LT"/>
        </w:rPr>
      </w:pPr>
      <w:r w:rsidRPr="000634DA">
        <w:rPr>
          <w:b/>
          <w:sz w:val="24"/>
          <w:szCs w:val="24"/>
          <w:lang w:val="lt-LT"/>
        </w:rPr>
        <w:t>KLAIPĖDOS RAJONO SAVIVALDYBĖJE, KRETINGALĖS SENIŪNIJOJE, KUKULIŠKIŲ KAIME, VYDŪNO G. 2,</w:t>
      </w:r>
    </w:p>
    <w:p w:rsidR="000634DA" w:rsidRPr="000634DA" w:rsidRDefault="000634DA" w:rsidP="000634DA">
      <w:pPr>
        <w:widowControl/>
        <w:tabs>
          <w:tab w:val="left" w:pos="7380"/>
        </w:tabs>
        <w:jc w:val="center"/>
        <w:rPr>
          <w:b/>
          <w:sz w:val="24"/>
          <w:szCs w:val="24"/>
          <w:lang w:val="lt-LT"/>
        </w:rPr>
      </w:pPr>
      <w:r w:rsidRPr="000634DA">
        <w:rPr>
          <w:b/>
          <w:sz w:val="24"/>
          <w:szCs w:val="24"/>
          <w:lang w:val="lt-LT"/>
        </w:rPr>
        <w:t>SĄRAŠAS</w:t>
      </w:r>
    </w:p>
    <w:p w:rsidR="000634DA" w:rsidRPr="000634DA" w:rsidRDefault="000634DA" w:rsidP="000634DA">
      <w:pPr>
        <w:widowControl/>
        <w:tabs>
          <w:tab w:val="left" w:pos="3630"/>
        </w:tabs>
        <w:ind w:right="-41"/>
        <w:jc w:val="center"/>
        <w:rPr>
          <w:bCs/>
          <w:sz w:val="24"/>
          <w:szCs w:val="24"/>
          <w:lang w:val="lt-LT"/>
        </w:rPr>
      </w:pPr>
    </w:p>
    <w:tbl>
      <w:tblPr>
        <w:tblW w:w="12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
        <w:gridCol w:w="5217"/>
        <w:gridCol w:w="2134"/>
        <w:gridCol w:w="1471"/>
        <w:gridCol w:w="1471"/>
        <w:gridCol w:w="1471"/>
      </w:tblGrid>
      <w:tr w:rsidR="000634DA" w:rsidRPr="000634DA" w:rsidTr="002551CC">
        <w:trPr>
          <w:cantSplit/>
          <w:trHeight w:val="1271"/>
          <w:tblHeader/>
          <w:jc w:val="center"/>
        </w:trPr>
        <w:tc>
          <w:tcPr>
            <w:tcW w:w="504" w:type="dxa"/>
            <w:shd w:val="clear" w:color="auto" w:fill="auto"/>
            <w:vAlign w:val="center"/>
          </w:tcPr>
          <w:p w:rsidR="000634DA" w:rsidRPr="000634DA" w:rsidRDefault="000634DA" w:rsidP="000634DA">
            <w:pPr>
              <w:widowControl/>
              <w:tabs>
                <w:tab w:val="left" w:pos="244"/>
              </w:tabs>
              <w:jc w:val="center"/>
              <w:rPr>
                <w:bCs/>
                <w:sz w:val="24"/>
                <w:szCs w:val="24"/>
                <w:lang w:val="lt-LT" w:eastAsia="lt-LT"/>
              </w:rPr>
            </w:pPr>
            <w:r w:rsidRPr="000634DA">
              <w:rPr>
                <w:bCs/>
                <w:sz w:val="24"/>
                <w:szCs w:val="24"/>
                <w:lang w:val="lt-LT" w:eastAsia="lt-LT"/>
              </w:rPr>
              <w:t>Eil. Nr.</w:t>
            </w:r>
          </w:p>
        </w:tc>
        <w:tc>
          <w:tcPr>
            <w:tcW w:w="5217" w:type="dxa"/>
            <w:shd w:val="clear" w:color="auto" w:fill="auto"/>
            <w:vAlign w:val="center"/>
          </w:tcPr>
          <w:p w:rsidR="000634DA" w:rsidRPr="000634DA" w:rsidRDefault="000634DA" w:rsidP="000634DA">
            <w:pPr>
              <w:widowControl/>
              <w:ind w:left="-93" w:right="-74"/>
              <w:jc w:val="center"/>
              <w:rPr>
                <w:bCs/>
                <w:sz w:val="24"/>
                <w:szCs w:val="24"/>
                <w:lang w:val="lt-LT" w:eastAsia="lt-LT"/>
              </w:rPr>
            </w:pPr>
            <w:r>
              <w:rPr>
                <w:bCs/>
                <w:sz w:val="24"/>
                <w:szCs w:val="24"/>
                <w:lang w:val="lt-LT" w:eastAsia="lt-LT"/>
              </w:rPr>
              <w:t>Pavadinimas</w:t>
            </w:r>
          </w:p>
        </w:tc>
        <w:tc>
          <w:tcPr>
            <w:tcW w:w="2134" w:type="dxa"/>
            <w:vAlign w:val="center"/>
          </w:tcPr>
          <w:p w:rsidR="000634DA" w:rsidRPr="000634DA" w:rsidRDefault="000634DA" w:rsidP="000634DA">
            <w:pPr>
              <w:widowControl/>
              <w:ind w:left="-93" w:right="-74"/>
              <w:jc w:val="center"/>
              <w:rPr>
                <w:bCs/>
                <w:sz w:val="24"/>
                <w:szCs w:val="24"/>
                <w:lang w:val="lt-LT" w:eastAsia="lt-LT"/>
              </w:rPr>
            </w:pPr>
            <w:r w:rsidRPr="000634DA">
              <w:rPr>
                <w:bCs/>
                <w:sz w:val="24"/>
                <w:szCs w:val="24"/>
                <w:lang w:val="lt-LT" w:eastAsia="lt-LT"/>
              </w:rPr>
              <w:t>Unikalus numeris</w:t>
            </w:r>
          </w:p>
        </w:tc>
        <w:tc>
          <w:tcPr>
            <w:tcW w:w="1471" w:type="dxa"/>
            <w:vAlign w:val="center"/>
          </w:tcPr>
          <w:p w:rsidR="000634DA" w:rsidRDefault="000634DA" w:rsidP="000634DA">
            <w:pPr>
              <w:widowControl/>
              <w:ind w:left="-93" w:right="-74"/>
              <w:jc w:val="center"/>
              <w:rPr>
                <w:bCs/>
                <w:sz w:val="24"/>
                <w:szCs w:val="24"/>
                <w:lang w:val="lt-LT" w:eastAsia="lt-LT"/>
              </w:rPr>
            </w:pPr>
            <w:r w:rsidRPr="000634DA">
              <w:rPr>
                <w:bCs/>
                <w:sz w:val="24"/>
                <w:szCs w:val="24"/>
                <w:lang w:val="lt-LT" w:eastAsia="lt-LT"/>
              </w:rPr>
              <w:t>Bendras</w:t>
            </w:r>
          </w:p>
          <w:p w:rsidR="000634DA" w:rsidRPr="000634DA" w:rsidRDefault="000634DA" w:rsidP="000634DA">
            <w:pPr>
              <w:widowControl/>
              <w:ind w:left="-93" w:right="-74"/>
              <w:jc w:val="center"/>
              <w:rPr>
                <w:bCs/>
                <w:sz w:val="24"/>
                <w:szCs w:val="24"/>
                <w:lang w:val="lt-LT" w:eastAsia="lt-LT"/>
              </w:rPr>
            </w:pPr>
            <w:r w:rsidRPr="000634DA">
              <w:rPr>
                <w:bCs/>
                <w:sz w:val="24"/>
                <w:szCs w:val="24"/>
                <w:lang w:val="lt-LT" w:eastAsia="lt-LT"/>
              </w:rPr>
              <w:t xml:space="preserve">statinio plotas, kv. m </w:t>
            </w:r>
          </w:p>
        </w:tc>
        <w:tc>
          <w:tcPr>
            <w:tcW w:w="1471" w:type="dxa"/>
            <w:vAlign w:val="center"/>
          </w:tcPr>
          <w:p w:rsidR="000634DA" w:rsidRDefault="000634DA" w:rsidP="000634DA">
            <w:pPr>
              <w:widowControl/>
              <w:ind w:left="-93" w:right="-74"/>
              <w:jc w:val="center"/>
              <w:rPr>
                <w:bCs/>
                <w:sz w:val="24"/>
                <w:szCs w:val="24"/>
                <w:lang w:val="lt-LT" w:eastAsia="lt-LT"/>
              </w:rPr>
            </w:pPr>
            <w:r>
              <w:rPr>
                <w:bCs/>
                <w:sz w:val="24"/>
                <w:szCs w:val="24"/>
                <w:lang w:val="lt-LT" w:eastAsia="lt-LT"/>
              </w:rPr>
              <w:t>Perduodamas plotas,</w:t>
            </w:r>
          </w:p>
          <w:p w:rsidR="000634DA" w:rsidRPr="000634DA" w:rsidRDefault="000634DA" w:rsidP="000634DA">
            <w:pPr>
              <w:widowControl/>
              <w:ind w:left="-93" w:right="-74"/>
              <w:jc w:val="center"/>
              <w:rPr>
                <w:bCs/>
                <w:sz w:val="24"/>
                <w:szCs w:val="24"/>
                <w:lang w:val="lt-LT" w:eastAsia="lt-LT"/>
              </w:rPr>
            </w:pPr>
            <w:r>
              <w:rPr>
                <w:bCs/>
                <w:sz w:val="24"/>
                <w:szCs w:val="24"/>
                <w:lang w:val="lt-LT" w:eastAsia="lt-LT"/>
              </w:rPr>
              <w:t>kv. m</w:t>
            </w:r>
          </w:p>
        </w:tc>
        <w:tc>
          <w:tcPr>
            <w:tcW w:w="1471" w:type="dxa"/>
            <w:vAlign w:val="center"/>
          </w:tcPr>
          <w:p w:rsidR="000634DA" w:rsidRPr="000634DA" w:rsidRDefault="000634DA" w:rsidP="000634DA">
            <w:pPr>
              <w:widowControl/>
              <w:spacing w:line="276" w:lineRule="auto"/>
              <w:ind w:left="-93" w:right="-74"/>
              <w:jc w:val="center"/>
              <w:rPr>
                <w:bCs/>
                <w:sz w:val="24"/>
                <w:szCs w:val="24"/>
                <w:lang w:val="lt-LT" w:eastAsia="lt-LT"/>
              </w:rPr>
            </w:pPr>
            <w:r w:rsidRPr="000634DA">
              <w:rPr>
                <w:bCs/>
                <w:sz w:val="24"/>
                <w:szCs w:val="24"/>
                <w:lang w:val="lt-LT" w:eastAsia="lt-LT"/>
              </w:rPr>
              <w:t xml:space="preserve">Likutinė vertė  </w:t>
            </w:r>
            <w:r>
              <w:rPr>
                <w:bCs/>
                <w:sz w:val="24"/>
                <w:szCs w:val="24"/>
                <w:lang w:val="lt-LT" w:eastAsia="lt-LT"/>
              </w:rPr>
              <w:t>2019</w:t>
            </w:r>
            <w:r w:rsidRPr="000634DA">
              <w:rPr>
                <w:bCs/>
                <w:sz w:val="24"/>
                <w:szCs w:val="24"/>
                <w:lang w:val="lt-LT" w:eastAsia="lt-LT"/>
              </w:rPr>
              <w:t>-</w:t>
            </w:r>
            <w:r>
              <w:rPr>
                <w:bCs/>
                <w:sz w:val="24"/>
                <w:szCs w:val="24"/>
                <w:lang w:val="lt-LT" w:eastAsia="lt-LT"/>
              </w:rPr>
              <w:t>05</w:t>
            </w:r>
            <w:r w:rsidRPr="000634DA">
              <w:rPr>
                <w:bCs/>
                <w:sz w:val="24"/>
                <w:szCs w:val="24"/>
                <w:lang w:val="lt-LT" w:eastAsia="lt-LT"/>
              </w:rPr>
              <w:t>-31,</w:t>
            </w:r>
          </w:p>
          <w:p w:rsidR="000634DA" w:rsidRPr="000634DA" w:rsidRDefault="000634DA" w:rsidP="000634DA">
            <w:pPr>
              <w:widowControl/>
              <w:spacing w:line="276" w:lineRule="auto"/>
              <w:ind w:left="-93" w:right="-74" w:firstLine="57"/>
              <w:jc w:val="center"/>
              <w:rPr>
                <w:bCs/>
                <w:sz w:val="24"/>
                <w:szCs w:val="24"/>
                <w:lang w:val="lt-LT" w:eastAsia="lt-LT"/>
              </w:rPr>
            </w:pPr>
            <w:r w:rsidRPr="000634DA">
              <w:rPr>
                <w:bCs/>
                <w:sz w:val="24"/>
                <w:szCs w:val="24"/>
                <w:lang w:val="lt-LT" w:eastAsia="lt-LT"/>
              </w:rPr>
              <w:t>eurais</w:t>
            </w:r>
          </w:p>
        </w:tc>
      </w:tr>
      <w:tr w:rsidR="00023986" w:rsidRPr="000634DA" w:rsidTr="00023986">
        <w:trPr>
          <w:cantSplit/>
          <w:trHeight w:val="176"/>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1.</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Pastatas – Poilsio namai</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5597-2012-6067</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314,33</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314,33</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16 732,04</w:t>
            </w:r>
          </w:p>
        </w:tc>
      </w:tr>
      <w:tr w:rsidR="00023986" w:rsidRPr="000634DA" w:rsidTr="00023986">
        <w:trPr>
          <w:cantSplit/>
          <w:trHeight w:val="69"/>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2.</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Pastatas – Valgykla</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5597-2012-6034</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944,12</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944,12</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5 359,76</w:t>
            </w:r>
          </w:p>
        </w:tc>
      </w:tr>
      <w:tr w:rsidR="00023986" w:rsidRPr="000634DA" w:rsidTr="00023986">
        <w:trPr>
          <w:cantSplit/>
          <w:trHeight w:val="69"/>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3.</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Pastatas – Baseinas</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5597-2012-6056</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557,87</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557,87</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84 652,76</w:t>
            </w:r>
          </w:p>
        </w:tc>
      </w:tr>
      <w:tr w:rsidR="00023986" w:rsidRPr="000634DA" w:rsidTr="00023986">
        <w:trPr>
          <w:cantSplit/>
          <w:trHeight w:val="176"/>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4.</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Pastatas – Poilsio namai</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5597-2012-6012</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1 036,58</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1 036,58</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43 925,87</w:t>
            </w:r>
          </w:p>
        </w:tc>
      </w:tr>
      <w:tr w:rsidR="00023986" w:rsidRPr="000634DA" w:rsidTr="00023986">
        <w:trPr>
          <w:cantSplit/>
          <w:trHeight w:val="176"/>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5.</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Pastatas – Poilsio namai</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5597-2012-6078</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464,74</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464,74</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41 526,46</w:t>
            </w:r>
          </w:p>
        </w:tc>
      </w:tr>
      <w:tr w:rsidR="00023986" w:rsidRPr="000634DA" w:rsidTr="00023986">
        <w:trPr>
          <w:cantSplit/>
          <w:trHeight w:val="69"/>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6.</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Pastatas – Poilsio namai</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5597-2012-6045</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200,09</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200,09</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0,00</w:t>
            </w:r>
          </w:p>
        </w:tc>
      </w:tr>
      <w:tr w:rsidR="00023986" w:rsidRPr="000634DA" w:rsidTr="00023986">
        <w:trPr>
          <w:cantSplit/>
          <w:trHeight w:val="69"/>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7.</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Pastatas – Poilsio namai</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5597-2012-6089</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199,97</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199,97</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83 410,24</w:t>
            </w:r>
          </w:p>
        </w:tc>
      </w:tr>
      <w:tr w:rsidR="00023986" w:rsidRPr="000634DA" w:rsidTr="00023986">
        <w:trPr>
          <w:cantSplit/>
          <w:trHeight w:val="69"/>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8.</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Pastatas – Poilsio namai</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5597-2012-6101</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200,24</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200,24</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1 624,56</w:t>
            </w:r>
          </w:p>
        </w:tc>
      </w:tr>
      <w:tr w:rsidR="00023986" w:rsidRPr="000634DA" w:rsidTr="00023986">
        <w:trPr>
          <w:cantSplit/>
          <w:trHeight w:val="69"/>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9.</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Pastatas – Poilsio namai</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5597-2012-6023</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199,82</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199,82</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0,00</w:t>
            </w:r>
          </w:p>
        </w:tc>
      </w:tr>
      <w:tr w:rsidR="00023986" w:rsidRPr="000634DA" w:rsidTr="00023986">
        <w:trPr>
          <w:cantSplit/>
          <w:trHeight w:val="69"/>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10.</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Pastatas – Poilsio namai</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5597-2012-6091</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199,86</w:t>
            </w:r>
          </w:p>
        </w:tc>
        <w:tc>
          <w:tcPr>
            <w:tcW w:w="1471" w:type="dxa"/>
            <w:noWrap/>
            <w:tcMar>
              <w:left w:w="0" w:type="dxa"/>
              <w:right w:w="170" w:type="dxa"/>
            </w:tcMar>
            <w:vAlign w:val="center"/>
          </w:tcPr>
          <w:p w:rsidR="00023986" w:rsidRPr="000634DA" w:rsidRDefault="00023986" w:rsidP="00023986">
            <w:pPr>
              <w:widowControl/>
              <w:jc w:val="right"/>
              <w:rPr>
                <w:sz w:val="24"/>
                <w:szCs w:val="24"/>
                <w:lang w:val="lt-LT"/>
              </w:rPr>
            </w:pPr>
            <w:r w:rsidRPr="000634DA">
              <w:rPr>
                <w:sz w:val="24"/>
                <w:szCs w:val="24"/>
                <w:lang w:val="lt-LT"/>
              </w:rPr>
              <w:t>199,86</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73 554,34</w:t>
            </w:r>
          </w:p>
        </w:tc>
      </w:tr>
      <w:tr w:rsidR="00023986" w:rsidRPr="000634DA" w:rsidTr="00023986">
        <w:trPr>
          <w:cantSplit/>
          <w:trHeight w:val="69"/>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11.</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Pastatas – Kiemo rūsys</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5597-2012-6112</w:t>
            </w:r>
          </w:p>
        </w:tc>
        <w:tc>
          <w:tcPr>
            <w:tcW w:w="1471" w:type="dxa"/>
            <w:noWrap/>
            <w:tcMar>
              <w:left w:w="0" w:type="dxa"/>
              <w:right w:w="170" w:type="dxa"/>
            </w:tcMar>
            <w:vAlign w:val="center"/>
          </w:tcPr>
          <w:p w:rsidR="00023986" w:rsidRPr="000634DA" w:rsidRDefault="00023986" w:rsidP="00023986">
            <w:pPr>
              <w:widowControl/>
              <w:jc w:val="center"/>
              <w:rPr>
                <w:sz w:val="24"/>
                <w:szCs w:val="24"/>
                <w:lang w:val="lt-LT"/>
              </w:rPr>
            </w:pPr>
            <w:r>
              <w:rPr>
                <w:sz w:val="24"/>
                <w:szCs w:val="24"/>
                <w:lang w:val="lt-LT"/>
              </w:rPr>
              <w:t>–</w:t>
            </w:r>
          </w:p>
        </w:tc>
        <w:tc>
          <w:tcPr>
            <w:tcW w:w="1471" w:type="dxa"/>
            <w:noWrap/>
            <w:tcMar>
              <w:left w:w="0" w:type="dxa"/>
              <w:right w:w="170" w:type="dxa"/>
            </w:tcMar>
            <w:vAlign w:val="center"/>
          </w:tcPr>
          <w:p w:rsidR="00023986" w:rsidRPr="000634DA" w:rsidRDefault="00023986" w:rsidP="00023986">
            <w:pPr>
              <w:widowControl/>
              <w:jc w:val="center"/>
              <w:rPr>
                <w:sz w:val="24"/>
                <w:szCs w:val="24"/>
                <w:lang w:val="lt-LT"/>
              </w:rPr>
            </w:pPr>
            <w:r>
              <w:rPr>
                <w:sz w:val="24"/>
                <w:szCs w:val="24"/>
                <w:lang w:val="lt-LT"/>
              </w:rPr>
              <w:t>–</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1 051,16</w:t>
            </w:r>
          </w:p>
        </w:tc>
      </w:tr>
      <w:tr w:rsidR="00023986" w:rsidRPr="000634DA" w:rsidTr="00023986">
        <w:trPr>
          <w:cantSplit/>
          <w:trHeight w:val="69"/>
          <w:jc w:val="center"/>
        </w:trPr>
        <w:tc>
          <w:tcPr>
            <w:tcW w:w="504" w:type="dxa"/>
            <w:shd w:val="clear" w:color="auto" w:fill="auto"/>
            <w:vAlign w:val="center"/>
          </w:tcPr>
          <w:p w:rsidR="00023986" w:rsidRPr="000634DA" w:rsidRDefault="00023986" w:rsidP="00023986">
            <w:pPr>
              <w:widowControl/>
              <w:jc w:val="center"/>
              <w:rPr>
                <w:sz w:val="24"/>
                <w:szCs w:val="24"/>
                <w:lang w:val="lt-LT" w:eastAsia="lt-LT"/>
              </w:rPr>
            </w:pPr>
            <w:r w:rsidRPr="000634DA">
              <w:rPr>
                <w:sz w:val="24"/>
                <w:szCs w:val="24"/>
                <w:lang w:val="lt-LT" w:eastAsia="lt-LT"/>
              </w:rPr>
              <w:t>12</w:t>
            </w:r>
          </w:p>
        </w:tc>
        <w:tc>
          <w:tcPr>
            <w:tcW w:w="5217" w:type="dxa"/>
            <w:shd w:val="clear" w:color="auto" w:fill="auto"/>
            <w:tcMar>
              <w:left w:w="113" w:type="dxa"/>
            </w:tcMar>
            <w:vAlign w:val="center"/>
          </w:tcPr>
          <w:p w:rsidR="00023986" w:rsidRPr="000634DA" w:rsidRDefault="00023986" w:rsidP="00023986">
            <w:pPr>
              <w:widowControl/>
              <w:rPr>
                <w:sz w:val="24"/>
                <w:szCs w:val="24"/>
                <w:lang w:val="lt-LT"/>
              </w:rPr>
            </w:pPr>
            <w:r w:rsidRPr="000634DA">
              <w:rPr>
                <w:sz w:val="24"/>
                <w:szCs w:val="24"/>
                <w:lang w:val="lt-LT"/>
              </w:rPr>
              <w:t>Kiti inžineriniai statiniai – Kiemo statiniai: stebėjimo postas, pavėsinės (4 vnt.), tvora, kiemo aikštelė, krepšinio aikštelė, tinklinio aikštelė, mašinų stovėjimo aikštelė, žaidimų aikštelė, teniso aikštelė)</w:t>
            </w:r>
          </w:p>
        </w:tc>
        <w:tc>
          <w:tcPr>
            <w:tcW w:w="2134" w:type="dxa"/>
            <w:vAlign w:val="center"/>
          </w:tcPr>
          <w:p w:rsidR="00023986" w:rsidRPr="000634DA" w:rsidRDefault="00023986" w:rsidP="00023986">
            <w:pPr>
              <w:widowControl/>
              <w:jc w:val="center"/>
              <w:rPr>
                <w:sz w:val="24"/>
                <w:szCs w:val="24"/>
                <w:lang w:val="lt-LT"/>
              </w:rPr>
            </w:pPr>
            <w:r w:rsidRPr="000634DA">
              <w:rPr>
                <w:sz w:val="24"/>
                <w:szCs w:val="24"/>
                <w:lang w:val="lt-LT"/>
              </w:rPr>
              <w:t>5597-2012-6123</w:t>
            </w:r>
          </w:p>
        </w:tc>
        <w:tc>
          <w:tcPr>
            <w:tcW w:w="1471" w:type="dxa"/>
            <w:noWrap/>
            <w:tcMar>
              <w:left w:w="0" w:type="dxa"/>
              <w:right w:w="170" w:type="dxa"/>
            </w:tcMar>
            <w:vAlign w:val="center"/>
          </w:tcPr>
          <w:p w:rsidR="00023986" w:rsidRPr="000634DA" w:rsidRDefault="00023986" w:rsidP="00023986">
            <w:pPr>
              <w:widowControl/>
              <w:jc w:val="center"/>
              <w:rPr>
                <w:sz w:val="24"/>
                <w:szCs w:val="24"/>
                <w:lang w:val="lt-LT"/>
              </w:rPr>
            </w:pPr>
            <w:r>
              <w:rPr>
                <w:sz w:val="24"/>
                <w:szCs w:val="24"/>
                <w:lang w:val="lt-LT"/>
              </w:rPr>
              <w:t>–</w:t>
            </w:r>
          </w:p>
        </w:tc>
        <w:tc>
          <w:tcPr>
            <w:tcW w:w="1471" w:type="dxa"/>
            <w:noWrap/>
            <w:tcMar>
              <w:left w:w="0" w:type="dxa"/>
              <w:right w:w="170" w:type="dxa"/>
            </w:tcMar>
            <w:vAlign w:val="center"/>
          </w:tcPr>
          <w:p w:rsidR="00023986" w:rsidRPr="000634DA" w:rsidRDefault="00023986" w:rsidP="00023986">
            <w:pPr>
              <w:widowControl/>
              <w:jc w:val="center"/>
              <w:rPr>
                <w:sz w:val="24"/>
                <w:szCs w:val="24"/>
                <w:lang w:val="lt-LT"/>
              </w:rPr>
            </w:pPr>
            <w:r>
              <w:rPr>
                <w:sz w:val="24"/>
                <w:szCs w:val="24"/>
                <w:lang w:val="lt-LT"/>
              </w:rPr>
              <w:t>–</w:t>
            </w:r>
          </w:p>
        </w:tc>
        <w:tc>
          <w:tcPr>
            <w:tcW w:w="1471" w:type="dxa"/>
            <w:noWrap/>
            <w:tcMar>
              <w:left w:w="0" w:type="dxa"/>
              <w:right w:w="170" w:type="dxa"/>
            </w:tcMar>
            <w:vAlign w:val="center"/>
          </w:tcPr>
          <w:p w:rsidR="00023986" w:rsidRPr="00023986" w:rsidRDefault="00023986" w:rsidP="00023986">
            <w:pPr>
              <w:widowControl/>
              <w:jc w:val="right"/>
              <w:rPr>
                <w:sz w:val="24"/>
                <w:szCs w:val="24"/>
                <w:lang w:val="lt-LT"/>
              </w:rPr>
            </w:pPr>
            <w:r w:rsidRPr="00023986">
              <w:rPr>
                <w:sz w:val="24"/>
                <w:szCs w:val="24"/>
                <w:lang w:val="lt-LT"/>
              </w:rPr>
              <w:t>37 221,41</w:t>
            </w:r>
          </w:p>
        </w:tc>
      </w:tr>
      <w:tr w:rsidR="000634DA" w:rsidRPr="000634DA" w:rsidTr="00023986">
        <w:trPr>
          <w:cantSplit/>
          <w:trHeight w:val="69"/>
          <w:jc w:val="center"/>
        </w:trPr>
        <w:tc>
          <w:tcPr>
            <w:tcW w:w="504" w:type="dxa"/>
            <w:shd w:val="clear" w:color="auto" w:fill="auto"/>
            <w:vAlign w:val="center"/>
          </w:tcPr>
          <w:p w:rsidR="000634DA" w:rsidRPr="000634DA" w:rsidRDefault="000634DA" w:rsidP="000634DA">
            <w:pPr>
              <w:widowControl/>
              <w:jc w:val="center"/>
              <w:rPr>
                <w:sz w:val="24"/>
                <w:szCs w:val="24"/>
                <w:lang w:val="lt-LT" w:eastAsia="lt-LT"/>
              </w:rPr>
            </w:pPr>
          </w:p>
        </w:tc>
        <w:tc>
          <w:tcPr>
            <w:tcW w:w="5217" w:type="dxa"/>
            <w:shd w:val="clear" w:color="auto" w:fill="auto"/>
            <w:tcMar>
              <w:left w:w="113" w:type="dxa"/>
            </w:tcMar>
            <w:vAlign w:val="center"/>
          </w:tcPr>
          <w:p w:rsidR="000634DA" w:rsidRPr="000634DA" w:rsidRDefault="000634DA" w:rsidP="000634DA">
            <w:pPr>
              <w:widowControl/>
              <w:rPr>
                <w:sz w:val="24"/>
                <w:szCs w:val="24"/>
                <w:lang w:val="lt-LT"/>
              </w:rPr>
            </w:pPr>
          </w:p>
        </w:tc>
        <w:tc>
          <w:tcPr>
            <w:tcW w:w="2134" w:type="dxa"/>
            <w:vAlign w:val="center"/>
          </w:tcPr>
          <w:p w:rsidR="000634DA" w:rsidRPr="000634DA" w:rsidRDefault="000634DA" w:rsidP="000634DA">
            <w:pPr>
              <w:widowControl/>
              <w:jc w:val="center"/>
              <w:rPr>
                <w:sz w:val="24"/>
                <w:szCs w:val="24"/>
                <w:lang w:val="lt-LT"/>
              </w:rPr>
            </w:pPr>
          </w:p>
        </w:tc>
        <w:tc>
          <w:tcPr>
            <w:tcW w:w="1471" w:type="dxa"/>
            <w:noWrap/>
            <w:tcMar>
              <w:left w:w="0" w:type="dxa"/>
              <w:right w:w="170" w:type="dxa"/>
            </w:tcMar>
            <w:vAlign w:val="center"/>
          </w:tcPr>
          <w:p w:rsidR="000634DA" w:rsidRDefault="000634DA" w:rsidP="000634DA">
            <w:pPr>
              <w:widowControl/>
              <w:jc w:val="center"/>
              <w:rPr>
                <w:sz w:val="24"/>
                <w:szCs w:val="24"/>
                <w:lang w:val="lt-LT"/>
              </w:rPr>
            </w:pPr>
          </w:p>
        </w:tc>
        <w:tc>
          <w:tcPr>
            <w:tcW w:w="1471" w:type="dxa"/>
            <w:noWrap/>
            <w:tcMar>
              <w:left w:w="0" w:type="dxa"/>
              <w:right w:w="170" w:type="dxa"/>
            </w:tcMar>
            <w:vAlign w:val="center"/>
          </w:tcPr>
          <w:p w:rsidR="000634DA" w:rsidRDefault="002551CC" w:rsidP="002551CC">
            <w:pPr>
              <w:widowControl/>
              <w:jc w:val="right"/>
              <w:rPr>
                <w:sz w:val="24"/>
                <w:szCs w:val="24"/>
                <w:lang w:val="lt-LT"/>
              </w:rPr>
            </w:pPr>
            <w:r w:rsidRPr="002551CC">
              <w:rPr>
                <w:sz w:val="24"/>
                <w:szCs w:val="24"/>
                <w:lang w:val="lt-LT"/>
              </w:rPr>
              <w:t>Iš viso:</w:t>
            </w:r>
          </w:p>
        </w:tc>
        <w:tc>
          <w:tcPr>
            <w:tcW w:w="1471" w:type="dxa"/>
            <w:noWrap/>
            <w:tcMar>
              <w:left w:w="0" w:type="dxa"/>
              <w:right w:w="170" w:type="dxa"/>
            </w:tcMar>
            <w:vAlign w:val="center"/>
          </w:tcPr>
          <w:p w:rsidR="000634DA" w:rsidRPr="000634DA" w:rsidRDefault="00023986" w:rsidP="00023986">
            <w:pPr>
              <w:widowControl/>
              <w:jc w:val="right"/>
              <w:rPr>
                <w:sz w:val="24"/>
                <w:szCs w:val="24"/>
                <w:lang w:val="lt-LT"/>
              </w:rPr>
            </w:pPr>
            <w:r w:rsidRPr="00023986">
              <w:rPr>
                <w:sz w:val="24"/>
                <w:szCs w:val="24"/>
                <w:lang w:val="lt-LT"/>
              </w:rPr>
              <w:t>389 058,60</w:t>
            </w:r>
          </w:p>
        </w:tc>
      </w:tr>
    </w:tbl>
    <w:p w:rsidR="000634DA" w:rsidRPr="000634DA" w:rsidRDefault="000634DA" w:rsidP="000634DA">
      <w:pPr>
        <w:widowControl/>
        <w:tabs>
          <w:tab w:val="center" w:pos="4819"/>
          <w:tab w:val="left" w:pos="6237"/>
          <w:tab w:val="right" w:pos="9638"/>
        </w:tabs>
        <w:rPr>
          <w:sz w:val="24"/>
          <w:szCs w:val="24"/>
          <w:lang w:val="lt-LT"/>
        </w:rPr>
      </w:pPr>
    </w:p>
    <w:p w:rsidR="000634DA" w:rsidRDefault="000634DA" w:rsidP="000634DA">
      <w:pPr>
        <w:widowControl/>
        <w:tabs>
          <w:tab w:val="center" w:pos="4819"/>
          <w:tab w:val="left" w:pos="6237"/>
          <w:tab w:val="right" w:pos="9638"/>
        </w:tabs>
        <w:rPr>
          <w:sz w:val="24"/>
          <w:szCs w:val="24"/>
          <w:lang w:val="lt-LT"/>
        </w:rPr>
      </w:pPr>
    </w:p>
    <w:p w:rsidR="002551CC" w:rsidRPr="000634DA" w:rsidRDefault="002551CC" w:rsidP="000634DA">
      <w:pPr>
        <w:widowControl/>
        <w:tabs>
          <w:tab w:val="center" w:pos="4819"/>
          <w:tab w:val="left" w:pos="6237"/>
          <w:tab w:val="right" w:pos="9638"/>
        </w:tabs>
        <w:rPr>
          <w:sz w:val="24"/>
          <w:szCs w:val="24"/>
          <w:lang w:val="lt-LT"/>
        </w:rPr>
      </w:pPr>
    </w:p>
    <w:p w:rsidR="000634DA" w:rsidRPr="000634DA" w:rsidRDefault="000634DA" w:rsidP="000634DA">
      <w:pPr>
        <w:widowControl/>
        <w:tabs>
          <w:tab w:val="center" w:pos="4819"/>
          <w:tab w:val="left" w:pos="6237"/>
          <w:tab w:val="right" w:pos="9638"/>
        </w:tabs>
        <w:jc w:val="center"/>
        <w:rPr>
          <w:rFonts w:ascii="TimesLT" w:hAnsi="TimesLT"/>
          <w:color w:val="000000"/>
          <w:sz w:val="22"/>
          <w:lang w:val="lt-LT"/>
        </w:rPr>
      </w:pPr>
      <w:r w:rsidRPr="000634DA">
        <w:rPr>
          <w:rFonts w:ascii="TimesLT" w:hAnsi="TimesLT"/>
          <w:color w:val="000000"/>
          <w:sz w:val="22"/>
          <w:lang w:val="lt-LT"/>
        </w:rPr>
        <w:t>––––––––––––––––––––</w:t>
      </w:r>
    </w:p>
    <w:p w:rsidR="000634DA" w:rsidRDefault="000634DA" w:rsidP="007F67FF">
      <w:pPr>
        <w:shd w:val="clear" w:color="auto" w:fill="FFFFFF"/>
        <w:tabs>
          <w:tab w:val="left" w:pos="3941"/>
        </w:tabs>
        <w:spacing w:line="312" w:lineRule="auto"/>
        <w:jc w:val="both"/>
        <w:rPr>
          <w:color w:val="000000"/>
          <w:spacing w:val="-5"/>
          <w:sz w:val="24"/>
          <w:szCs w:val="24"/>
          <w:lang w:val="lt-LT"/>
        </w:rPr>
      </w:pPr>
    </w:p>
    <w:sectPr w:rsidR="000634DA" w:rsidSect="002551CC">
      <w:type w:val="continuous"/>
      <w:pgSz w:w="16834" w:h="11909" w:orient="landscape" w:code="9"/>
      <w:pgMar w:top="993" w:right="1134" w:bottom="567" w:left="1134" w:header="567" w:footer="56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7B8" w:rsidRDefault="001577B8">
      <w:r>
        <w:separator/>
      </w:r>
    </w:p>
  </w:endnote>
  <w:endnote w:type="continuationSeparator" w:id="0">
    <w:p w:rsidR="001577B8" w:rsidRDefault="0015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7B8" w:rsidRDefault="001577B8">
      <w:r>
        <w:separator/>
      </w:r>
    </w:p>
  </w:footnote>
  <w:footnote w:type="continuationSeparator" w:id="0">
    <w:p w:rsidR="001577B8" w:rsidRDefault="00157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7334"/>
    <w:multiLevelType w:val="hybridMultilevel"/>
    <w:tmpl w:val="DB201ACC"/>
    <w:lvl w:ilvl="0" w:tplc="398ACC2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D7F5E9F"/>
    <w:multiLevelType w:val="hybridMultilevel"/>
    <w:tmpl w:val="0FC07598"/>
    <w:lvl w:ilvl="0" w:tplc="0A36060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FCE"/>
    <w:rsid w:val="00001DA0"/>
    <w:rsid w:val="000119B4"/>
    <w:rsid w:val="000145A6"/>
    <w:rsid w:val="000172C9"/>
    <w:rsid w:val="000225DD"/>
    <w:rsid w:val="00023986"/>
    <w:rsid w:val="000317BB"/>
    <w:rsid w:val="000634DA"/>
    <w:rsid w:val="000655A7"/>
    <w:rsid w:val="000840E7"/>
    <w:rsid w:val="00096BB7"/>
    <w:rsid w:val="00096C32"/>
    <w:rsid w:val="000C4BA5"/>
    <w:rsid w:val="000E24AC"/>
    <w:rsid w:val="000F7771"/>
    <w:rsid w:val="00110526"/>
    <w:rsid w:val="001275CE"/>
    <w:rsid w:val="001341A2"/>
    <w:rsid w:val="00134F2F"/>
    <w:rsid w:val="00153E3A"/>
    <w:rsid w:val="001577B8"/>
    <w:rsid w:val="0016001C"/>
    <w:rsid w:val="001659B4"/>
    <w:rsid w:val="0018074D"/>
    <w:rsid w:val="00184413"/>
    <w:rsid w:val="001A41AC"/>
    <w:rsid w:val="001C348D"/>
    <w:rsid w:val="001C408A"/>
    <w:rsid w:val="001C460E"/>
    <w:rsid w:val="001F5C99"/>
    <w:rsid w:val="002046B4"/>
    <w:rsid w:val="002121F1"/>
    <w:rsid w:val="00214F27"/>
    <w:rsid w:val="002426A1"/>
    <w:rsid w:val="002551CC"/>
    <w:rsid w:val="00266739"/>
    <w:rsid w:val="00297FB3"/>
    <w:rsid w:val="002D4C05"/>
    <w:rsid w:val="002D5657"/>
    <w:rsid w:val="002E3981"/>
    <w:rsid w:val="002E6880"/>
    <w:rsid w:val="00320242"/>
    <w:rsid w:val="0035169A"/>
    <w:rsid w:val="00352337"/>
    <w:rsid w:val="003703E1"/>
    <w:rsid w:val="00375158"/>
    <w:rsid w:val="003960F2"/>
    <w:rsid w:val="003A7420"/>
    <w:rsid w:val="003E61D1"/>
    <w:rsid w:val="003E7988"/>
    <w:rsid w:val="00444F05"/>
    <w:rsid w:val="00445701"/>
    <w:rsid w:val="00452038"/>
    <w:rsid w:val="004A5A61"/>
    <w:rsid w:val="004E0F45"/>
    <w:rsid w:val="00523D87"/>
    <w:rsid w:val="005330AB"/>
    <w:rsid w:val="00552656"/>
    <w:rsid w:val="00576C92"/>
    <w:rsid w:val="0057794C"/>
    <w:rsid w:val="0058069D"/>
    <w:rsid w:val="0058314D"/>
    <w:rsid w:val="00585C92"/>
    <w:rsid w:val="005A258A"/>
    <w:rsid w:val="005A5C46"/>
    <w:rsid w:val="005A7787"/>
    <w:rsid w:val="005C01CC"/>
    <w:rsid w:val="005C428E"/>
    <w:rsid w:val="005E14BE"/>
    <w:rsid w:val="005F2586"/>
    <w:rsid w:val="005F2D8A"/>
    <w:rsid w:val="006007B2"/>
    <w:rsid w:val="00621F7F"/>
    <w:rsid w:val="0063003D"/>
    <w:rsid w:val="00632F52"/>
    <w:rsid w:val="00641F73"/>
    <w:rsid w:val="006603EB"/>
    <w:rsid w:val="00677FCE"/>
    <w:rsid w:val="0068699A"/>
    <w:rsid w:val="00695115"/>
    <w:rsid w:val="006A005D"/>
    <w:rsid w:val="006A37F9"/>
    <w:rsid w:val="006B4E35"/>
    <w:rsid w:val="006D15F5"/>
    <w:rsid w:val="006F2A69"/>
    <w:rsid w:val="0071225B"/>
    <w:rsid w:val="00714AB7"/>
    <w:rsid w:val="0072355B"/>
    <w:rsid w:val="00754C18"/>
    <w:rsid w:val="007859FC"/>
    <w:rsid w:val="00796D3D"/>
    <w:rsid w:val="007A2264"/>
    <w:rsid w:val="007A63F4"/>
    <w:rsid w:val="007A6E3C"/>
    <w:rsid w:val="007B5691"/>
    <w:rsid w:val="007F67FF"/>
    <w:rsid w:val="008235DB"/>
    <w:rsid w:val="00840098"/>
    <w:rsid w:val="00846831"/>
    <w:rsid w:val="00851529"/>
    <w:rsid w:val="00853E7B"/>
    <w:rsid w:val="008661EB"/>
    <w:rsid w:val="008820A5"/>
    <w:rsid w:val="00891F61"/>
    <w:rsid w:val="008A5E45"/>
    <w:rsid w:val="008C6B4E"/>
    <w:rsid w:val="008D006D"/>
    <w:rsid w:val="008E2E9B"/>
    <w:rsid w:val="008E379E"/>
    <w:rsid w:val="0090094F"/>
    <w:rsid w:val="00905937"/>
    <w:rsid w:val="0091291B"/>
    <w:rsid w:val="0092350A"/>
    <w:rsid w:val="00943FF2"/>
    <w:rsid w:val="00946D67"/>
    <w:rsid w:val="009730C1"/>
    <w:rsid w:val="0097648B"/>
    <w:rsid w:val="00995C5F"/>
    <w:rsid w:val="009B6021"/>
    <w:rsid w:val="009D37D6"/>
    <w:rsid w:val="009D5271"/>
    <w:rsid w:val="00A27050"/>
    <w:rsid w:val="00A46C48"/>
    <w:rsid w:val="00A5100F"/>
    <w:rsid w:val="00A5583C"/>
    <w:rsid w:val="00A574CD"/>
    <w:rsid w:val="00A86015"/>
    <w:rsid w:val="00AE347F"/>
    <w:rsid w:val="00AE6F06"/>
    <w:rsid w:val="00B107B1"/>
    <w:rsid w:val="00B12BA7"/>
    <w:rsid w:val="00B23347"/>
    <w:rsid w:val="00B57307"/>
    <w:rsid w:val="00B66D33"/>
    <w:rsid w:val="00B67659"/>
    <w:rsid w:val="00B741DC"/>
    <w:rsid w:val="00B85605"/>
    <w:rsid w:val="00BD4CCF"/>
    <w:rsid w:val="00BE6B86"/>
    <w:rsid w:val="00C056EB"/>
    <w:rsid w:val="00C15A07"/>
    <w:rsid w:val="00C5373E"/>
    <w:rsid w:val="00C55D80"/>
    <w:rsid w:val="00C807B1"/>
    <w:rsid w:val="00CA1284"/>
    <w:rsid w:val="00CB7222"/>
    <w:rsid w:val="00CB7F60"/>
    <w:rsid w:val="00CF3D59"/>
    <w:rsid w:val="00D04DDE"/>
    <w:rsid w:val="00D21A9A"/>
    <w:rsid w:val="00D306C3"/>
    <w:rsid w:val="00D755C9"/>
    <w:rsid w:val="00D843BC"/>
    <w:rsid w:val="00D85F4E"/>
    <w:rsid w:val="00D9685D"/>
    <w:rsid w:val="00DB0A57"/>
    <w:rsid w:val="00DB0F90"/>
    <w:rsid w:val="00DE1654"/>
    <w:rsid w:val="00DF168E"/>
    <w:rsid w:val="00E019A5"/>
    <w:rsid w:val="00E16645"/>
    <w:rsid w:val="00E42659"/>
    <w:rsid w:val="00E67218"/>
    <w:rsid w:val="00E84BF4"/>
    <w:rsid w:val="00EB6A1D"/>
    <w:rsid w:val="00EE17B5"/>
    <w:rsid w:val="00EE5A5F"/>
    <w:rsid w:val="00EF4C4A"/>
    <w:rsid w:val="00F15C81"/>
    <w:rsid w:val="00F26A24"/>
    <w:rsid w:val="00F37986"/>
    <w:rsid w:val="00F62EEB"/>
    <w:rsid w:val="00F648E9"/>
    <w:rsid w:val="00F661DA"/>
    <w:rsid w:val="00F734DC"/>
    <w:rsid w:val="00F859FF"/>
    <w:rsid w:val="00FD2358"/>
    <w:rsid w:val="00FF52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2497C"/>
  <w15:docId w15:val="{47D1498F-F768-4699-B337-77B7D8E0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pPr>
    <w:rPr>
      <w:lang w:val="en-US" w:eastAsia="en-US"/>
    </w:rPr>
  </w:style>
  <w:style w:type="paragraph" w:styleId="Antrat1">
    <w:name w:val="heading 1"/>
    <w:basedOn w:val="prastasis"/>
    <w:next w:val="prastasis"/>
    <w:qFormat/>
    <w:pPr>
      <w:keepNext/>
      <w:outlineLvl w:val="0"/>
    </w:pPr>
    <w:rPr>
      <w:rFonts w:ascii="TimesLT" w:hAnsi="TimesLT"/>
      <w:b/>
      <w:color w:val="000000"/>
      <w:spacing w:val="-8"/>
      <w:sz w:val="29"/>
      <w:lang w:val="lt-LT"/>
    </w:rPr>
  </w:style>
  <w:style w:type="paragraph" w:styleId="Antrat2">
    <w:name w:val="heading 2"/>
    <w:basedOn w:val="prastasis"/>
    <w:next w:val="prastasis"/>
    <w:qFormat/>
    <w:pPr>
      <w:keepNext/>
      <w:jc w:val="center"/>
      <w:outlineLvl w:val="1"/>
    </w:pPr>
    <w:rPr>
      <w:sz w:val="25"/>
      <w:lang w:val="lt-LT"/>
    </w:rPr>
  </w:style>
  <w:style w:type="paragraph" w:styleId="Antrat3">
    <w:name w:val="heading 3"/>
    <w:basedOn w:val="prastasis"/>
    <w:next w:val="prastasis"/>
    <w:qFormat/>
    <w:pPr>
      <w:keepNext/>
      <w:tabs>
        <w:tab w:val="left" w:pos="3544"/>
        <w:tab w:val="left" w:pos="3828"/>
      </w:tabs>
      <w:jc w:val="center"/>
      <w:outlineLvl w:val="2"/>
    </w:pPr>
    <w:rPr>
      <w:rFonts w:ascii="TimesLT" w:hAnsi="TimesLT"/>
      <w:b/>
      <w:color w:val="000000"/>
      <w:sz w:val="25"/>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avadinimas">
    <w:name w:val="Title"/>
    <w:basedOn w:val="prastasis"/>
    <w:qFormat/>
    <w:pPr>
      <w:widowControl/>
      <w:jc w:val="center"/>
    </w:pPr>
    <w:rPr>
      <w:rFonts w:ascii="TimesLT" w:hAnsi="TimesLT"/>
      <w:b/>
      <w:sz w:val="28"/>
      <w:lang w:val="lt-LT"/>
    </w:rPr>
  </w:style>
  <w:style w:type="paragraph" w:styleId="Pagrindiniotekstotrauka">
    <w:name w:val="Body Text Indent"/>
    <w:basedOn w:val="prastasis"/>
    <w:semiHidden/>
    <w:pPr>
      <w:shd w:val="clear" w:color="auto" w:fill="FFFFFF"/>
      <w:spacing w:before="298"/>
      <w:ind w:firstLine="1134"/>
    </w:pPr>
    <w:rPr>
      <w:rFonts w:ascii="TimesLT" w:hAnsi="TimesLT"/>
      <w:color w:val="000000"/>
      <w:spacing w:val="-4"/>
      <w:sz w:val="25"/>
      <w:lang w:val="lt-LT"/>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val="en-US" w:eastAsia="en-US"/>
    </w:rPr>
  </w:style>
  <w:style w:type="paragraph" w:customStyle="1" w:styleId="tactin">
    <w:name w:val="tactin"/>
    <w:basedOn w:val="prastasis"/>
    <w:rsid w:val="0035169A"/>
    <w:pPr>
      <w:widowControl/>
      <w:spacing w:before="100" w:beforeAutospacing="1" w:after="100" w:afterAutospacing="1"/>
    </w:pPr>
    <w:rPr>
      <w:sz w:val="24"/>
      <w:szCs w:val="24"/>
      <w:lang w:val="lt-LT" w:eastAsia="lt-LT"/>
    </w:rPr>
  </w:style>
  <w:style w:type="character" w:styleId="Komentaronuoroda">
    <w:name w:val="annotation reference"/>
    <w:uiPriority w:val="99"/>
    <w:semiHidden/>
    <w:unhideWhenUsed/>
    <w:rsid w:val="00AE347F"/>
    <w:rPr>
      <w:sz w:val="16"/>
      <w:szCs w:val="16"/>
    </w:rPr>
  </w:style>
  <w:style w:type="paragraph" w:styleId="Komentarotekstas">
    <w:name w:val="annotation text"/>
    <w:basedOn w:val="prastasis"/>
    <w:link w:val="KomentarotekstasDiagrama"/>
    <w:uiPriority w:val="99"/>
    <w:semiHidden/>
    <w:unhideWhenUsed/>
    <w:rsid w:val="00AE347F"/>
  </w:style>
  <w:style w:type="character" w:customStyle="1" w:styleId="KomentarotekstasDiagrama">
    <w:name w:val="Komentaro tekstas Diagrama"/>
    <w:link w:val="Komentarotekstas"/>
    <w:uiPriority w:val="99"/>
    <w:semiHidden/>
    <w:rsid w:val="00AE347F"/>
    <w:rPr>
      <w:lang w:val="en-US" w:eastAsia="en-US"/>
    </w:rPr>
  </w:style>
  <w:style w:type="paragraph" w:styleId="Komentarotema">
    <w:name w:val="annotation subject"/>
    <w:basedOn w:val="Komentarotekstas"/>
    <w:next w:val="Komentarotekstas"/>
    <w:link w:val="KomentarotemaDiagrama"/>
    <w:uiPriority w:val="99"/>
    <w:semiHidden/>
    <w:unhideWhenUsed/>
    <w:rsid w:val="00AE347F"/>
    <w:rPr>
      <w:b/>
      <w:bCs/>
    </w:rPr>
  </w:style>
  <w:style w:type="character" w:customStyle="1" w:styleId="KomentarotemaDiagrama">
    <w:name w:val="Komentaro tema Diagrama"/>
    <w:link w:val="Komentarotema"/>
    <w:uiPriority w:val="99"/>
    <w:semiHidden/>
    <w:rsid w:val="00AE347F"/>
    <w:rPr>
      <w:b/>
      <w:bCs/>
      <w:lang w:val="en-US" w:eastAsia="en-US"/>
    </w:rPr>
  </w:style>
  <w:style w:type="table" w:styleId="Lentelstinklelis">
    <w:name w:val="Table Grid"/>
    <w:basedOn w:val="prastojilentel"/>
    <w:uiPriority w:val="59"/>
    <w:rsid w:val="00A860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D2358"/>
    <w:pPr>
      <w:widowControl/>
      <w:ind w:left="720"/>
      <w:contextualSpacing/>
    </w:pPr>
    <w:rPr>
      <w:sz w:val="24"/>
      <w:lang w:val="lt-LT"/>
    </w:rPr>
  </w:style>
  <w:style w:type="paragraph" w:styleId="Antrat">
    <w:name w:val="caption"/>
    <w:basedOn w:val="prastasis"/>
    <w:next w:val="prastasis"/>
    <w:uiPriority w:val="35"/>
    <w:semiHidden/>
    <w:unhideWhenUsed/>
    <w:qFormat/>
    <w:rsid w:val="003703E1"/>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769F-2585-494A-9289-6FB057BAE684}">
  <ds:schemaRefs>
    <ds:schemaRef ds:uri="http://schemas.microsoft.com/sharepoint/v3/contenttype/forms"/>
  </ds:schemaRefs>
</ds:datastoreItem>
</file>

<file path=customXml/itemProps2.xml><?xml version="1.0" encoding="utf-8"?>
<ds:datastoreItem xmlns:ds="http://schemas.openxmlformats.org/officeDocument/2006/customXml" ds:itemID="{72D9A60C-56E1-48B6-B6C9-043F97BC10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2063B-56ED-46FF-9038-6C25F3A9E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7EB2C1-06AC-4868-9BC4-CC558FC6AD23}">
  <ds:schemaRefs>
    <ds:schemaRef ds:uri="http://schemas.microsoft.com/office/2006/metadata/longProperties"/>
  </ds:schemaRefs>
</ds:datastoreItem>
</file>

<file path=customXml/itemProps5.xml><?xml version="1.0" encoding="utf-8"?>
<ds:datastoreItem xmlns:ds="http://schemas.openxmlformats.org/officeDocument/2006/customXml" ds:itemID="{B656A35B-506C-48BB-967D-052754D7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2265</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5b524f3b-3da9-4acd-a0d2-6da8ad032627</vt:lpstr>
      <vt:lpstr>2.1.1. (Dokumentų rengimo ir įforminimo taisyklių 3 priedas) Įsakymas dėl viešųjų pirkimų komisijos sudarymo</vt:lpstr>
    </vt:vector>
  </TitlesOfParts>
  <Company>AB Turto bankas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5b524f3b-3da9-4acd-a0d2-6da8ad032627</dc:title>
  <dc:creator>Rimantas Vaitkevičius</dc:creator>
  <cp:lastModifiedBy>KACINSKYTE, Simona</cp:lastModifiedBy>
  <cp:revision>4</cp:revision>
  <cp:lastPrinted>2019-04-24T08:25:00Z</cp:lastPrinted>
  <dcterms:created xsi:type="dcterms:W3CDTF">2019-05-21T12:38:00Z</dcterms:created>
  <dcterms:modified xsi:type="dcterms:W3CDTF">2019-05-23T04:26:00Z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