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C1" w:rsidRPr="00EE31C6" w:rsidRDefault="007F64E8" w:rsidP="00D416C1">
      <w:pPr>
        <w:pStyle w:val="Antrat"/>
        <w:ind w:right="1"/>
        <w:rPr>
          <w:sz w:val="24"/>
        </w:rPr>
      </w:pPr>
      <w:r>
        <w:rPr>
          <w:noProof/>
          <w:lang w:eastAsia="lt-LT"/>
        </w:rPr>
        <w:drawing>
          <wp:inline distT="0" distB="0" distL="0" distR="0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:rsid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:rsidR="00D416C1" w:rsidRP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BA788A">
        <w:t>DĖL</w:t>
      </w:r>
      <w:r>
        <w:t xml:space="preserve"> VALSTYBĖS NEKILNOJAMOJO TURTO PERDAVIMO PATIKĖJIMO TEISE</w:t>
      </w:r>
    </w:p>
    <w:p w:rsidR="00636929" w:rsidRDefault="00636929" w:rsidP="00CB1452">
      <w:pPr>
        <w:spacing w:line="276" w:lineRule="auto"/>
        <w:ind w:right="-1"/>
        <w:jc w:val="center"/>
        <w:rPr>
          <w:szCs w:val="24"/>
        </w:rPr>
      </w:pPr>
    </w:p>
    <w:p w:rsidR="00AB43F5" w:rsidRDefault="00A51858" w:rsidP="00AB43F5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="001B2BB7" w:rsidRPr="00CB1452">
        <w:rPr>
          <w:szCs w:val="24"/>
        </w:rPr>
        <w:t xml:space="preserve"> m.</w:t>
      </w:r>
      <w:r w:rsidR="005D02F3">
        <w:rPr>
          <w:szCs w:val="24"/>
        </w:rPr>
        <w:t xml:space="preserve"> liepos 31 </w:t>
      </w:r>
      <w:r w:rsidR="001B2BB7" w:rsidRPr="00CB1452">
        <w:rPr>
          <w:szCs w:val="24"/>
        </w:rPr>
        <w:t>d. Nr.</w:t>
      </w:r>
      <w:r w:rsidR="00B7470E" w:rsidRPr="00CB1452">
        <w:rPr>
          <w:szCs w:val="24"/>
        </w:rPr>
        <w:t xml:space="preserve"> P13-</w:t>
      </w:r>
      <w:r w:rsidR="005D02F3">
        <w:rPr>
          <w:szCs w:val="24"/>
        </w:rPr>
        <w:t>28</w:t>
      </w:r>
      <w:bookmarkStart w:id="0" w:name="_GoBack"/>
      <w:bookmarkEnd w:id="0"/>
      <w:r w:rsidR="00955BB7">
        <w:rPr>
          <w:szCs w:val="24"/>
        </w:rPr>
        <w:t xml:space="preserve">  </w:t>
      </w:r>
    </w:p>
    <w:p w:rsidR="001B2BB7" w:rsidRPr="00AB43F5" w:rsidRDefault="001B2BB7" w:rsidP="00AB43F5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:rsidR="00AB43F5" w:rsidRDefault="00AB43F5" w:rsidP="00AB43F5">
      <w:pPr>
        <w:pStyle w:val="Standard"/>
        <w:ind w:firstLine="720"/>
        <w:jc w:val="center"/>
        <w:rPr>
          <w:rFonts w:hint="eastAsia"/>
        </w:rPr>
      </w:pPr>
    </w:p>
    <w:p w:rsidR="00043DB6" w:rsidRPr="00AB43F5" w:rsidRDefault="001B2BB7" w:rsidP="00AB43F5">
      <w:pPr>
        <w:pStyle w:val="Standard"/>
        <w:spacing w:line="360" w:lineRule="auto"/>
        <w:ind w:firstLine="720"/>
        <w:jc w:val="both"/>
        <w:rPr>
          <w:rFonts w:ascii="Times New Roman" w:eastAsia="Calibri" w:hAnsi="Times New Roman"/>
          <w:lang w:eastAsia="lt-LT"/>
        </w:rPr>
      </w:pPr>
      <w:r w:rsidRPr="00AB43F5">
        <w:rPr>
          <w:rFonts w:ascii="Times New Roman" w:eastAsia="Calibri" w:hAnsi="Times New Roman"/>
          <w:lang w:eastAsia="lt-LT"/>
        </w:rPr>
        <w:t>Vadovaudamasi</w:t>
      </w:r>
      <w:r w:rsidR="00BE2870" w:rsidRPr="00AB43F5">
        <w:rPr>
          <w:rFonts w:ascii="Times New Roman" w:eastAsia="Calibri" w:hAnsi="Times New Roman"/>
          <w:lang w:eastAsia="lt-LT"/>
        </w:rPr>
        <w:t>s</w:t>
      </w:r>
      <w:r w:rsidRPr="00AB43F5">
        <w:rPr>
          <w:rFonts w:ascii="Times New Roman" w:eastAsia="Calibri" w:hAnsi="Times New Roman"/>
          <w:lang w:eastAsia="lt-LT"/>
        </w:rPr>
        <w:t xml:space="preserve"> Lietuvos Respublikos valstybės ir savivaldybių turto valdymo, naudojimo ir disponavimo juo įstatymo </w:t>
      </w:r>
      <w:r w:rsidR="008306C2" w:rsidRPr="00AB43F5">
        <w:rPr>
          <w:rFonts w:ascii="Times New Roman" w:eastAsia="Calibri" w:hAnsi="Times New Roman"/>
          <w:lang w:eastAsia="lt-LT"/>
        </w:rPr>
        <w:t>10</w:t>
      </w:r>
      <w:r w:rsidR="00FA7357" w:rsidRPr="00AB43F5">
        <w:rPr>
          <w:rFonts w:ascii="Times New Roman" w:eastAsia="Calibri" w:hAnsi="Times New Roman"/>
          <w:lang w:eastAsia="lt-LT"/>
        </w:rPr>
        <w:t xml:space="preserve"> straipsniu</w:t>
      </w:r>
      <w:r w:rsidR="00B23C7F" w:rsidRPr="00AB43F5">
        <w:rPr>
          <w:rFonts w:ascii="Times New Roman" w:eastAsia="Calibri" w:hAnsi="Times New Roman"/>
          <w:lang w:eastAsia="lt-LT"/>
        </w:rPr>
        <w:t xml:space="preserve"> </w:t>
      </w:r>
      <w:r w:rsidRPr="00AB43F5">
        <w:rPr>
          <w:rFonts w:ascii="Times New Roman" w:eastAsia="Calibri" w:hAnsi="Times New Roman"/>
          <w:lang w:eastAsia="lt-LT"/>
        </w:rPr>
        <w:t>ir įgyvendindama</w:t>
      </w:r>
      <w:r w:rsidR="00BE2870" w:rsidRPr="00AB43F5">
        <w:rPr>
          <w:rFonts w:ascii="Times New Roman" w:eastAsia="Calibri" w:hAnsi="Times New Roman"/>
          <w:lang w:eastAsia="lt-LT"/>
        </w:rPr>
        <w:t>s</w:t>
      </w:r>
      <w:r w:rsidRPr="00AB43F5">
        <w:rPr>
          <w:rFonts w:ascii="Times New Roman" w:eastAsia="Calibri" w:hAnsi="Times New Roman"/>
          <w:lang w:eastAsia="lt-LT"/>
        </w:rPr>
        <w:t xml:space="preserve"> Valstybės turto perdavimo valdyti, naudoti ir disponuoti juo patikėjimo teise tvarkos aprašą, patvirtintą Lietuvos Respublikos Vyriausybės 2001</w:t>
      </w:r>
      <w:r w:rsidR="0061471E" w:rsidRPr="00AB43F5">
        <w:rPr>
          <w:rFonts w:ascii="Times New Roman" w:eastAsia="Calibri" w:hAnsi="Times New Roman"/>
          <w:lang w:eastAsia="lt-LT"/>
        </w:rPr>
        <w:t xml:space="preserve"> </w:t>
      </w:r>
      <w:r w:rsidR="00FA7357" w:rsidRPr="00AB43F5">
        <w:rPr>
          <w:rFonts w:ascii="Times New Roman" w:eastAsia="Calibri" w:hAnsi="Times New Roman"/>
          <w:lang w:eastAsia="lt-LT"/>
        </w:rPr>
        <w:t>m. sausio 5 d. nutarimu</w:t>
      </w:r>
      <w:r w:rsidR="00043DB6" w:rsidRPr="00AB43F5">
        <w:rPr>
          <w:rFonts w:ascii="Times New Roman" w:eastAsia="Calibri" w:hAnsi="Times New Roman"/>
          <w:lang w:eastAsia="lt-LT"/>
        </w:rPr>
        <w:t xml:space="preserve"> Nr. 16</w:t>
      </w:r>
      <w:r w:rsidR="00FA7357" w:rsidRPr="00AB43F5">
        <w:rPr>
          <w:rFonts w:ascii="Times New Roman" w:eastAsia="Calibri" w:hAnsi="Times New Roman"/>
          <w:lang w:eastAsia="lt-LT"/>
        </w:rPr>
        <w:t xml:space="preserve"> </w:t>
      </w:r>
      <w:r w:rsidR="00D545E9" w:rsidRPr="00AB43F5">
        <w:rPr>
          <w:rFonts w:ascii="Times New Roman" w:eastAsia="Calibri" w:hAnsi="Times New Roman"/>
          <w:lang w:eastAsia="lt-LT"/>
        </w:rPr>
        <w:t xml:space="preserve">„Dėl </w:t>
      </w:r>
      <w:r w:rsidR="0050343E" w:rsidRPr="00AB43F5">
        <w:rPr>
          <w:rFonts w:ascii="Times New Roman" w:eastAsia="Calibri" w:hAnsi="Times New Roman"/>
          <w:lang w:eastAsia="lt-LT"/>
        </w:rPr>
        <w:t>V</w:t>
      </w:r>
      <w:r w:rsidR="00D545E9" w:rsidRPr="00AB43F5">
        <w:rPr>
          <w:rFonts w:ascii="Times New Roman" w:eastAsia="Calibri" w:hAnsi="Times New Roman"/>
          <w:lang w:eastAsia="lt-LT"/>
        </w:rPr>
        <w:t>alstybės turto perdavimo valdyti, naudoti ir disponuoti juo patikėjimo teise tvarkos aprašo patvirtinimo</w:t>
      </w:r>
      <w:r w:rsidR="00FA7357" w:rsidRPr="00AB43F5">
        <w:rPr>
          <w:rFonts w:ascii="Times New Roman" w:eastAsia="Calibri" w:hAnsi="Times New Roman"/>
          <w:lang w:eastAsia="lt-LT"/>
        </w:rPr>
        <w:t>“</w:t>
      </w:r>
      <w:r w:rsidR="00DF1040" w:rsidRPr="00AB43F5">
        <w:rPr>
          <w:rFonts w:ascii="Times New Roman" w:eastAsia="Calibri" w:hAnsi="Times New Roman"/>
          <w:lang w:eastAsia="lt-LT"/>
        </w:rPr>
        <w:t>,</w:t>
      </w:r>
    </w:p>
    <w:p w:rsidR="007A49D9" w:rsidRPr="00AB43F5" w:rsidRDefault="00DF1040" w:rsidP="00AB43F5">
      <w:pPr>
        <w:pStyle w:val="Standard"/>
        <w:spacing w:line="360" w:lineRule="auto"/>
        <w:ind w:firstLine="720"/>
        <w:jc w:val="both"/>
        <w:rPr>
          <w:rFonts w:ascii="Times New Roman" w:eastAsia="Calibri" w:hAnsi="Times New Roman"/>
          <w:lang w:eastAsia="lt-LT"/>
        </w:rPr>
      </w:pPr>
      <w:r w:rsidRPr="00AB43F5">
        <w:rPr>
          <w:rFonts w:ascii="Times New Roman" w:eastAsia="Calibri" w:hAnsi="Times New Roman"/>
          <w:lang w:eastAsia="lt-LT"/>
        </w:rPr>
        <w:t>p</w:t>
      </w:r>
      <w:r w:rsidR="009C586F" w:rsidRPr="00AB43F5">
        <w:rPr>
          <w:rFonts w:ascii="Times New Roman" w:eastAsia="Calibri" w:hAnsi="Times New Roman"/>
          <w:lang w:eastAsia="lt-LT"/>
        </w:rPr>
        <w:t xml:space="preserve"> e r d u o d u </w:t>
      </w:r>
      <w:r w:rsidR="00A825B0">
        <w:t xml:space="preserve">Turto valdymo ir ūkio departamentui prie Lietuvos Respublikos vidaus reikalų ministerijos </w:t>
      </w:r>
      <w:r w:rsidR="00A1255F" w:rsidRPr="00AB43F5">
        <w:rPr>
          <w:rFonts w:ascii="Times New Roman" w:eastAsia="Calibri" w:hAnsi="Times New Roman"/>
          <w:lang w:eastAsia="lt-LT"/>
        </w:rPr>
        <w:t xml:space="preserve">valdyti, naudoti ir disponuoti juo patikėjimo teise </w:t>
      </w:r>
      <w:r w:rsidR="00C164A5" w:rsidRPr="00AB43F5">
        <w:rPr>
          <w:rFonts w:ascii="Times New Roman" w:eastAsia="Calibri" w:hAnsi="Times New Roman"/>
          <w:lang w:eastAsia="lt-LT"/>
        </w:rPr>
        <w:t xml:space="preserve">jo nuostatuose numatytai veiklai vykdyti </w:t>
      </w:r>
      <w:r w:rsidR="00A1255F" w:rsidRPr="00AB43F5">
        <w:rPr>
          <w:rFonts w:ascii="Times New Roman" w:eastAsia="Calibri" w:hAnsi="Times New Roman"/>
          <w:lang w:eastAsia="lt-LT"/>
        </w:rPr>
        <w:t xml:space="preserve">valstybei nuosavybės teise priklausantį </w:t>
      </w:r>
      <w:r w:rsidR="00B60EF9" w:rsidRPr="00AB43F5">
        <w:rPr>
          <w:rFonts w:ascii="Times New Roman" w:eastAsia="Calibri" w:hAnsi="Times New Roman"/>
          <w:lang w:eastAsia="lt-LT"/>
        </w:rPr>
        <w:t xml:space="preserve">ir šiuo metu </w:t>
      </w:r>
      <w:r w:rsidR="00955BB7">
        <w:t xml:space="preserve">Lietuvos Respublikos Vyriausybės kanceliarijos </w:t>
      </w:r>
      <w:r w:rsidR="00B60EF9" w:rsidRPr="00AB43F5">
        <w:rPr>
          <w:rFonts w:ascii="Times New Roman" w:eastAsia="Calibri" w:hAnsi="Times New Roman"/>
          <w:lang w:eastAsia="lt-LT"/>
        </w:rPr>
        <w:t xml:space="preserve">patikėjimo teise valdomą </w:t>
      </w:r>
      <w:r w:rsidR="00EF592C" w:rsidRPr="00AB43F5">
        <w:rPr>
          <w:rFonts w:ascii="Times New Roman" w:eastAsia="Calibri" w:hAnsi="Times New Roman"/>
          <w:lang w:eastAsia="lt-LT"/>
        </w:rPr>
        <w:t>nekilnojamąjį turtą</w:t>
      </w:r>
      <w:r w:rsidR="006348FB" w:rsidRPr="00AB43F5">
        <w:rPr>
          <w:rFonts w:ascii="Times New Roman" w:eastAsia="Calibri" w:hAnsi="Times New Roman"/>
          <w:lang w:eastAsia="lt-LT"/>
        </w:rPr>
        <w:t xml:space="preserve">, </w:t>
      </w:r>
      <w:r w:rsidR="00955BB7">
        <w:t>pastatą (pastatas pažymėtas plane – 1A2p, unikalus numeris – 1095-6011-9017, bendras plotas – 389,54 kv. metro, be likutinės vertės), esantį Vilniuje, Turniškių g. 23</w:t>
      </w:r>
      <w:r w:rsidR="00ED3650" w:rsidRPr="00AB43F5">
        <w:rPr>
          <w:rFonts w:ascii="Times New Roman" w:eastAsia="Calibri" w:hAnsi="Times New Roman"/>
          <w:lang w:eastAsia="lt-LT"/>
        </w:rPr>
        <w:t>.</w:t>
      </w:r>
    </w:p>
    <w:p w:rsidR="00A1255F" w:rsidRDefault="00A1255F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EE71D0" w:rsidRDefault="00EE71D0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653226" w:rsidRDefault="00576E66" w:rsidP="004B0ABC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  <w:r w:rsidRPr="00576E66">
        <w:rPr>
          <w:szCs w:val="24"/>
        </w:rPr>
        <w:t>Generalini</w:t>
      </w:r>
      <w:r w:rsidR="004B0ABC">
        <w:rPr>
          <w:szCs w:val="24"/>
        </w:rPr>
        <w:t>s</w:t>
      </w:r>
      <w:r w:rsidRPr="00576E66">
        <w:rPr>
          <w:szCs w:val="24"/>
        </w:rPr>
        <w:t xml:space="preserve"> direktorius</w:t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  <w:t xml:space="preserve">              Mindaugas Sinkevičius</w:t>
      </w:r>
    </w:p>
    <w:p w:rsidR="009A635E" w:rsidRDefault="009A635E" w:rsidP="00540614">
      <w:pPr>
        <w:rPr>
          <w:szCs w:val="24"/>
        </w:rPr>
      </w:pPr>
    </w:p>
    <w:p w:rsidR="009A635E" w:rsidRDefault="009A635E" w:rsidP="00540614">
      <w:pPr>
        <w:rPr>
          <w:szCs w:val="24"/>
        </w:rPr>
      </w:pPr>
    </w:p>
    <w:p w:rsidR="009A635E" w:rsidRDefault="009A635E" w:rsidP="00540614">
      <w:pPr>
        <w:rPr>
          <w:szCs w:val="24"/>
        </w:rPr>
      </w:pPr>
    </w:p>
    <w:p w:rsidR="009A635E" w:rsidRDefault="009A635E" w:rsidP="00540614">
      <w:pPr>
        <w:rPr>
          <w:szCs w:val="24"/>
        </w:rPr>
      </w:pPr>
    </w:p>
    <w:p w:rsidR="00ED3650" w:rsidRDefault="00ED3650" w:rsidP="00540614">
      <w:pPr>
        <w:rPr>
          <w:szCs w:val="24"/>
        </w:rPr>
      </w:pPr>
    </w:p>
    <w:p w:rsidR="00ED3650" w:rsidRDefault="00ED3650" w:rsidP="00540614">
      <w:pPr>
        <w:rPr>
          <w:szCs w:val="24"/>
        </w:rPr>
      </w:pPr>
    </w:p>
    <w:p w:rsidR="001319EC" w:rsidRDefault="001319EC" w:rsidP="00540614">
      <w:pPr>
        <w:rPr>
          <w:szCs w:val="24"/>
        </w:rPr>
      </w:pPr>
    </w:p>
    <w:p w:rsidR="00ED3650" w:rsidRDefault="00ED3650" w:rsidP="00540614">
      <w:pPr>
        <w:rPr>
          <w:szCs w:val="24"/>
        </w:rPr>
      </w:pPr>
    </w:p>
    <w:p w:rsidR="00ED3650" w:rsidRDefault="00ED3650" w:rsidP="00540614">
      <w:pPr>
        <w:rPr>
          <w:szCs w:val="24"/>
        </w:rPr>
      </w:pPr>
    </w:p>
    <w:p w:rsidR="00ED3650" w:rsidRDefault="00ED3650" w:rsidP="00540614">
      <w:pPr>
        <w:rPr>
          <w:szCs w:val="24"/>
        </w:rPr>
      </w:pPr>
    </w:p>
    <w:p w:rsidR="00ED3650" w:rsidRDefault="00ED3650" w:rsidP="00540614">
      <w:pPr>
        <w:rPr>
          <w:szCs w:val="24"/>
        </w:rPr>
      </w:pPr>
    </w:p>
    <w:p w:rsidR="00ED3650" w:rsidRDefault="00ED3650" w:rsidP="00540614">
      <w:pPr>
        <w:rPr>
          <w:szCs w:val="24"/>
        </w:rPr>
      </w:pPr>
    </w:p>
    <w:p w:rsidR="009A635E" w:rsidRDefault="009A635E" w:rsidP="00540614">
      <w:pPr>
        <w:rPr>
          <w:szCs w:val="24"/>
        </w:rPr>
      </w:pPr>
    </w:p>
    <w:p w:rsidR="00540614" w:rsidRDefault="009204DE" w:rsidP="00540614">
      <w:pPr>
        <w:rPr>
          <w:szCs w:val="24"/>
        </w:rPr>
      </w:pPr>
      <w:r w:rsidRPr="00CB1452">
        <w:rPr>
          <w:szCs w:val="24"/>
        </w:rPr>
        <w:t>Parengė</w:t>
      </w:r>
      <w:r w:rsidR="001D2DF5">
        <w:rPr>
          <w:szCs w:val="24"/>
        </w:rPr>
        <w:t>:</w:t>
      </w:r>
    </w:p>
    <w:p w:rsidR="00634196" w:rsidRDefault="00634196" w:rsidP="00540614">
      <w:pPr>
        <w:rPr>
          <w:szCs w:val="24"/>
        </w:rPr>
      </w:pPr>
    </w:p>
    <w:p w:rsidR="00F45D1E" w:rsidRPr="00CB1452" w:rsidRDefault="00A46DEF" w:rsidP="00A46DEF">
      <w:pPr>
        <w:rPr>
          <w:szCs w:val="24"/>
        </w:rPr>
      </w:pPr>
      <w:r w:rsidRPr="00CB1452">
        <w:rPr>
          <w:szCs w:val="24"/>
        </w:rPr>
        <w:t>Audrius Navickas</w:t>
      </w:r>
    </w:p>
    <w:p w:rsidR="00EB5645" w:rsidRPr="00CB1452" w:rsidRDefault="00A46DEF" w:rsidP="00A46DEF">
      <w:pPr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Pr="00CB1452">
        <w:rPr>
          <w:szCs w:val="24"/>
        </w:rPr>
        <w:t>-</w:t>
      </w:r>
      <w:r w:rsidR="004B0ABC">
        <w:rPr>
          <w:szCs w:val="24"/>
        </w:rPr>
        <w:t>0</w:t>
      </w:r>
      <w:r w:rsidR="001319EC">
        <w:rPr>
          <w:szCs w:val="24"/>
        </w:rPr>
        <w:t>7</w:t>
      </w:r>
      <w:r w:rsidRPr="00CB1452">
        <w:rPr>
          <w:szCs w:val="24"/>
        </w:rPr>
        <w:t>-</w:t>
      </w:r>
      <w:r w:rsidR="002330D8">
        <w:rPr>
          <w:szCs w:val="24"/>
        </w:rPr>
        <w:t>30</w:t>
      </w:r>
    </w:p>
    <w:sectPr w:rsidR="00EB5645" w:rsidRPr="00CB1452" w:rsidSect="00D71B1B">
      <w:headerReference w:type="default" r:id="rId9"/>
      <w:pgSz w:w="11906" w:h="16838"/>
      <w:pgMar w:top="1701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6D" w:rsidRDefault="0038656D" w:rsidP="00AD24B2">
      <w:r>
        <w:separator/>
      </w:r>
    </w:p>
  </w:endnote>
  <w:endnote w:type="continuationSeparator" w:id="0">
    <w:p w:rsidR="0038656D" w:rsidRDefault="0038656D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6D" w:rsidRDefault="0038656D" w:rsidP="00AD24B2">
      <w:r>
        <w:separator/>
      </w:r>
    </w:p>
  </w:footnote>
  <w:footnote w:type="continuationSeparator" w:id="0">
    <w:p w:rsidR="0038656D" w:rsidRDefault="0038656D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3F5">
      <w:rPr>
        <w:noProof/>
      </w:rPr>
      <w:t>2</w:t>
    </w:r>
    <w:r>
      <w:fldChar w:fldCharType="end"/>
    </w:r>
  </w:p>
  <w:p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F4A01"/>
    <w:multiLevelType w:val="hybridMultilevel"/>
    <w:tmpl w:val="022CCC26"/>
    <w:lvl w:ilvl="0" w:tplc="5412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6C1"/>
    <w:rsid w:val="00006DA0"/>
    <w:rsid w:val="00026379"/>
    <w:rsid w:val="00032BFA"/>
    <w:rsid w:val="00043DB6"/>
    <w:rsid w:val="000500AE"/>
    <w:rsid w:val="00055FCE"/>
    <w:rsid w:val="000563C5"/>
    <w:rsid w:val="00063111"/>
    <w:rsid w:val="00063AC7"/>
    <w:rsid w:val="00065E03"/>
    <w:rsid w:val="00067C14"/>
    <w:rsid w:val="0007480D"/>
    <w:rsid w:val="000B5980"/>
    <w:rsid w:val="000C72F3"/>
    <w:rsid w:val="000E3003"/>
    <w:rsid w:val="000E6584"/>
    <w:rsid w:val="000F0CF1"/>
    <w:rsid w:val="000F2253"/>
    <w:rsid w:val="000F288A"/>
    <w:rsid w:val="00105F5C"/>
    <w:rsid w:val="00107E32"/>
    <w:rsid w:val="00116854"/>
    <w:rsid w:val="00116B60"/>
    <w:rsid w:val="00117BB0"/>
    <w:rsid w:val="00121AA1"/>
    <w:rsid w:val="00126C85"/>
    <w:rsid w:val="001319EC"/>
    <w:rsid w:val="00142C91"/>
    <w:rsid w:val="00151A25"/>
    <w:rsid w:val="001535B0"/>
    <w:rsid w:val="00153E53"/>
    <w:rsid w:val="00154972"/>
    <w:rsid w:val="00160036"/>
    <w:rsid w:val="0016622E"/>
    <w:rsid w:val="00171E91"/>
    <w:rsid w:val="00172FAD"/>
    <w:rsid w:val="0018149F"/>
    <w:rsid w:val="00197E6B"/>
    <w:rsid w:val="001A1CB1"/>
    <w:rsid w:val="001A4D2B"/>
    <w:rsid w:val="001B10C4"/>
    <w:rsid w:val="001B29BC"/>
    <w:rsid w:val="001B2BB7"/>
    <w:rsid w:val="001C01F6"/>
    <w:rsid w:val="001D2DF5"/>
    <w:rsid w:val="001E03FA"/>
    <w:rsid w:val="00215315"/>
    <w:rsid w:val="002330D8"/>
    <w:rsid w:val="00234D69"/>
    <w:rsid w:val="0024713C"/>
    <w:rsid w:val="0025735D"/>
    <w:rsid w:val="00257783"/>
    <w:rsid w:val="00266644"/>
    <w:rsid w:val="00275A66"/>
    <w:rsid w:val="00282522"/>
    <w:rsid w:val="002825C6"/>
    <w:rsid w:val="00286A9F"/>
    <w:rsid w:val="00292595"/>
    <w:rsid w:val="002949C7"/>
    <w:rsid w:val="002A1A95"/>
    <w:rsid w:val="002B7916"/>
    <w:rsid w:val="002D1509"/>
    <w:rsid w:val="002D4D6C"/>
    <w:rsid w:val="002D62DF"/>
    <w:rsid w:val="002E7950"/>
    <w:rsid w:val="002F3C85"/>
    <w:rsid w:val="002F5BF0"/>
    <w:rsid w:val="00303537"/>
    <w:rsid w:val="00314AD0"/>
    <w:rsid w:val="003236C5"/>
    <w:rsid w:val="003265DB"/>
    <w:rsid w:val="00330370"/>
    <w:rsid w:val="003359EE"/>
    <w:rsid w:val="003370EB"/>
    <w:rsid w:val="00337ACD"/>
    <w:rsid w:val="00341078"/>
    <w:rsid w:val="00341E00"/>
    <w:rsid w:val="00347B52"/>
    <w:rsid w:val="003519FF"/>
    <w:rsid w:val="0035212A"/>
    <w:rsid w:val="003564C6"/>
    <w:rsid w:val="003754F0"/>
    <w:rsid w:val="003772BC"/>
    <w:rsid w:val="00386179"/>
    <w:rsid w:val="0038656D"/>
    <w:rsid w:val="003905E3"/>
    <w:rsid w:val="00393D97"/>
    <w:rsid w:val="003A7A88"/>
    <w:rsid w:val="003C0F15"/>
    <w:rsid w:val="003C6A84"/>
    <w:rsid w:val="003F349C"/>
    <w:rsid w:val="0040517E"/>
    <w:rsid w:val="00410D37"/>
    <w:rsid w:val="0041251E"/>
    <w:rsid w:val="0042065B"/>
    <w:rsid w:val="00426241"/>
    <w:rsid w:val="0043649C"/>
    <w:rsid w:val="0044075D"/>
    <w:rsid w:val="0045406A"/>
    <w:rsid w:val="004656A7"/>
    <w:rsid w:val="00473114"/>
    <w:rsid w:val="00476ED1"/>
    <w:rsid w:val="00480ADF"/>
    <w:rsid w:val="004869B0"/>
    <w:rsid w:val="004A0881"/>
    <w:rsid w:val="004B077A"/>
    <w:rsid w:val="004B0ABC"/>
    <w:rsid w:val="004C0008"/>
    <w:rsid w:val="004C184A"/>
    <w:rsid w:val="004C6E42"/>
    <w:rsid w:val="004D054E"/>
    <w:rsid w:val="004D121F"/>
    <w:rsid w:val="004E1263"/>
    <w:rsid w:val="004E3076"/>
    <w:rsid w:val="004E4F96"/>
    <w:rsid w:val="004E59BA"/>
    <w:rsid w:val="004F0083"/>
    <w:rsid w:val="004F05B5"/>
    <w:rsid w:val="0050343E"/>
    <w:rsid w:val="005176E3"/>
    <w:rsid w:val="005204AD"/>
    <w:rsid w:val="00530775"/>
    <w:rsid w:val="00540614"/>
    <w:rsid w:val="00544DC9"/>
    <w:rsid w:val="00546D79"/>
    <w:rsid w:val="00552E5D"/>
    <w:rsid w:val="005642C8"/>
    <w:rsid w:val="00576E66"/>
    <w:rsid w:val="00583F1F"/>
    <w:rsid w:val="005A2CE0"/>
    <w:rsid w:val="005A4078"/>
    <w:rsid w:val="005A4117"/>
    <w:rsid w:val="005B1AA6"/>
    <w:rsid w:val="005C1AB2"/>
    <w:rsid w:val="005C431B"/>
    <w:rsid w:val="005C72CD"/>
    <w:rsid w:val="005D02F3"/>
    <w:rsid w:val="005D404C"/>
    <w:rsid w:val="005F3E4B"/>
    <w:rsid w:val="005F5588"/>
    <w:rsid w:val="005F6A29"/>
    <w:rsid w:val="005F7580"/>
    <w:rsid w:val="005F783F"/>
    <w:rsid w:val="0060257A"/>
    <w:rsid w:val="00602FB2"/>
    <w:rsid w:val="0061471E"/>
    <w:rsid w:val="0062188F"/>
    <w:rsid w:val="00626888"/>
    <w:rsid w:val="00632175"/>
    <w:rsid w:val="00634196"/>
    <w:rsid w:val="006348FB"/>
    <w:rsid w:val="00634FC0"/>
    <w:rsid w:val="00635175"/>
    <w:rsid w:val="00635E3E"/>
    <w:rsid w:val="00636929"/>
    <w:rsid w:val="0063747F"/>
    <w:rsid w:val="00641447"/>
    <w:rsid w:val="006420B6"/>
    <w:rsid w:val="00643C59"/>
    <w:rsid w:val="00643EA3"/>
    <w:rsid w:val="00650897"/>
    <w:rsid w:val="00653226"/>
    <w:rsid w:val="00661EF7"/>
    <w:rsid w:val="0067199B"/>
    <w:rsid w:val="0067244F"/>
    <w:rsid w:val="0068172E"/>
    <w:rsid w:val="006A50A1"/>
    <w:rsid w:val="006B3B58"/>
    <w:rsid w:val="006B4295"/>
    <w:rsid w:val="006C1526"/>
    <w:rsid w:val="006D722C"/>
    <w:rsid w:val="006E70AA"/>
    <w:rsid w:val="007016B2"/>
    <w:rsid w:val="007025B3"/>
    <w:rsid w:val="007063BF"/>
    <w:rsid w:val="0071047C"/>
    <w:rsid w:val="007117DA"/>
    <w:rsid w:val="007145BF"/>
    <w:rsid w:val="00723290"/>
    <w:rsid w:val="007242F6"/>
    <w:rsid w:val="00736AAC"/>
    <w:rsid w:val="00737933"/>
    <w:rsid w:val="00767D61"/>
    <w:rsid w:val="007758AD"/>
    <w:rsid w:val="00792CD6"/>
    <w:rsid w:val="007A49D9"/>
    <w:rsid w:val="007A6098"/>
    <w:rsid w:val="007B3028"/>
    <w:rsid w:val="007C1A1E"/>
    <w:rsid w:val="007D3924"/>
    <w:rsid w:val="007E2837"/>
    <w:rsid w:val="007F59E6"/>
    <w:rsid w:val="007F64E8"/>
    <w:rsid w:val="00805036"/>
    <w:rsid w:val="008069B9"/>
    <w:rsid w:val="00812F6A"/>
    <w:rsid w:val="00822FB4"/>
    <w:rsid w:val="008249F6"/>
    <w:rsid w:val="008306C2"/>
    <w:rsid w:val="008831C4"/>
    <w:rsid w:val="00883D5B"/>
    <w:rsid w:val="008878D9"/>
    <w:rsid w:val="00890E07"/>
    <w:rsid w:val="008A24BC"/>
    <w:rsid w:val="008B111E"/>
    <w:rsid w:val="008B1E36"/>
    <w:rsid w:val="008B2D0A"/>
    <w:rsid w:val="008B3BE6"/>
    <w:rsid w:val="008D15A2"/>
    <w:rsid w:val="008E4784"/>
    <w:rsid w:val="008E4D72"/>
    <w:rsid w:val="008F0962"/>
    <w:rsid w:val="008F663F"/>
    <w:rsid w:val="009056C1"/>
    <w:rsid w:val="00906240"/>
    <w:rsid w:val="00911F11"/>
    <w:rsid w:val="009204DE"/>
    <w:rsid w:val="00925449"/>
    <w:rsid w:val="00941F84"/>
    <w:rsid w:val="009509AA"/>
    <w:rsid w:val="00955BB7"/>
    <w:rsid w:val="00963C04"/>
    <w:rsid w:val="009672AA"/>
    <w:rsid w:val="0097074A"/>
    <w:rsid w:val="009956F2"/>
    <w:rsid w:val="009A635E"/>
    <w:rsid w:val="009B0B1F"/>
    <w:rsid w:val="009B2F69"/>
    <w:rsid w:val="009B49C9"/>
    <w:rsid w:val="009B55DB"/>
    <w:rsid w:val="009C586F"/>
    <w:rsid w:val="009F6FB9"/>
    <w:rsid w:val="009F7AF2"/>
    <w:rsid w:val="00A053AA"/>
    <w:rsid w:val="00A11776"/>
    <w:rsid w:val="00A1255F"/>
    <w:rsid w:val="00A14687"/>
    <w:rsid w:val="00A22303"/>
    <w:rsid w:val="00A22873"/>
    <w:rsid w:val="00A2669F"/>
    <w:rsid w:val="00A31E5E"/>
    <w:rsid w:val="00A46DEF"/>
    <w:rsid w:val="00A51858"/>
    <w:rsid w:val="00A612BB"/>
    <w:rsid w:val="00A67799"/>
    <w:rsid w:val="00A82596"/>
    <w:rsid w:val="00A825B0"/>
    <w:rsid w:val="00A958A4"/>
    <w:rsid w:val="00AA3796"/>
    <w:rsid w:val="00AB43F5"/>
    <w:rsid w:val="00AB559A"/>
    <w:rsid w:val="00AC2C05"/>
    <w:rsid w:val="00AC79F8"/>
    <w:rsid w:val="00AD24B2"/>
    <w:rsid w:val="00AF2C57"/>
    <w:rsid w:val="00B0486B"/>
    <w:rsid w:val="00B11363"/>
    <w:rsid w:val="00B1226D"/>
    <w:rsid w:val="00B174EF"/>
    <w:rsid w:val="00B23C7F"/>
    <w:rsid w:val="00B3598B"/>
    <w:rsid w:val="00B35D4A"/>
    <w:rsid w:val="00B406F9"/>
    <w:rsid w:val="00B4550A"/>
    <w:rsid w:val="00B46EEA"/>
    <w:rsid w:val="00B534DE"/>
    <w:rsid w:val="00B60EF9"/>
    <w:rsid w:val="00B63152"/>
    <w:rsid w:val="00B63503"/>
    <w:rsid w:val="00B704AB"/>
    <w:rsid w:val="00B7470E"/>
    <w:rsid w:val="00B80B69"/>
    <w:rsid w:val="00B81BD3"/>
    <w:rsid w:val="00B96C8F"/>
    <w:rsid w:val="00B973AB"/>
    <w:rsid w:val="00B9754A"/>
    <w:rsid w:val="00BA788A"/>
    <w:rsid w:val="00BA7B74"/>
    <w:rsid w:val="00BE2870"/>
    <w:rsid w:val="00BF4BF8"/>
    <w:rsid w:val="00BF7315"/>
    <w:rsid w:val="00C00A12"/>
    <w:rsid w:val="00C02758"/>
    <w:rsid w:val="00C12B70"/>
    <w:rsid w:val="00C1497A"/>
    <w:rsid w:val="00C152D9"/>
    <w:rsid w:val="00C164A5"/>
    <w:rsid w:val="00C24222"/>
    <w:rsid w:val="00C44999"/>
    <w:rsid w:val="00C541AF"/>
    <w:rsid w:val="00C764FE"/>
    <w:rsid w:val="00C87369"/>
    <w:rsid w:val="00C87ACB"/>
    <w:rsid w:val="00CA1625"/>
    <w:rsid w:val="00CB0359"/>
    <w:rsid w:val="00CB1452"/>
    <w:rsid w:val="00CB7A96"/>
    <w:rsid w:val="00CC398B"/>
    <w:rsid w:val="00CC51ED"/>
    <w:rsid w:val="00CD3DE6"/>
    <w:rsid w:val="00CE2A68"/>
    <w:rsid w:val="00CE69F7"/>
    <w:rsid w:val="00CF2E5A"/>
    <w:rsid w:val="00D00A26"/>
    <w:rsid w:val="00D07E15"/>
    <w:rsid w:val="00D30AB0"/>
    <w:rsid w:val="00D37045"/>
    <w:rsid w:val="00D416C1"/>
    <w:rsid w:val="00D47236"/>
    <w:rsid w:val="00D545E9"/>
    <w:rsid w:val="00D64588"/>
    <w:rsid w:val="00D71B1B"/>
    <w:rsid w:val="00D772A7"/>
    <w:rsid w:val="00D827D6"/>
    <w:rsid w:val="00D90562"/>
    <w:rsid w:val="00DA684D"/>
    <w:rsid w:val="00DC7721"/>
    <w:rsid w:val="00DE7AA8"/>
    <w:rsid w:val="00DF1040"/>
    <w:rsid w:val="00DF1318"/>
    <w:rsid w:val="00DF2B8B"/>
    <w:rsid w:val="00DF318B"/>
    <w:rsid w:val="00DF649F"/>
    <w:rsid w:val="00DF6AFC"/>
    <w:rsid w:val="00E03B79"/>
    <w:rsid w:val="00E231E3"/>
    <w:rsid w:val="00E314C1"/>
    <w:rsid w:val="00E31673"/>
    <w:rsid w:val="00E36A72"/>
    <w:rsid w:val="00E45F61"/>
    <w:rsid w:val="00E50E80"/>
    <w:rsid w:val="00E611C8"/>
    <w:rsid w:val="00E6602A"/>
    <w:rsid w:val="00E6640B"/>
    <w:rsid w:val="00E66EDC"/>
    <w:rsid w:val="00E816D0"/>
    <w:rsid w:val="00E852A6"/>
    <w:rsid w:val="00E96792"/>
    <w:rsid w:val="00EA263A"/>
    <w:rsid w:val="00EA423A"/>
    <w:rsid w:val="00EB5645"/>
    <w:rsid w:val="00EB672C"/>
    <w:rsid w:val="00EC1D3B"/>
    <w:rsid w:val="00ED1FF4"/>
    <w:rsid w:val="00ED3650"/>
    <w:rsid w:val="00EE5AE1"/>
    <w:rsid w:val="00EE71D0"/>
    <w:rsid w:val="00EF56E5"/>
    <w:rsid w:val="00EF592C"/>
    <w:rsid w:val="00F02CDB"/>
    <w:rsid w:val="00F07033"/>
    <w:rsid w:val="00F160ED"/>
    <w:rsid w:val="00F17E73"/>
    <w:rsid w:val="00F200C6"/>
    <w:rsid w:val="00F23D31"/>
    <w:rsid w:val="00F345F0"/>
    <w:rsid w:val="00F34F11"/>
    <w:rsid w:val="00F45D1E"/>
    <w:rsid w:val="00F51D94"/>
    <w:rsid w:val="00F54B11"/>
    <w:rsid w:val="00F54EE8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959C4"/>
    <w:rsid w:val="00FA7357"/>
    <w:rsid w:val="00FD143C"/>
    <w:rsid w:val="00FD5858"/>
    <w:rsid w:val="00FE038F"/>
    <w:rsid w:val="00FE0AFB"/>
    <w:rsid w:val="00FE1564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F670"/>
  <w15:docId w15:val="{90F06EC1-E449-45BE-AE3A-6D186A82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paragraph" w:customStyle="1" w:styleId="Standard">
    <w:name w:val="Standard"/>
    <w:rsid w:val="00CD3DE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A8B5-8A93-4523-B7FF-2B827EE1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KACINSKYTE, Simona</cp:lastModifiedBy>
  <cp:revision>87</cp:revision>
  <cp:lastPrinted>2019-06-28T08:19:00Z</cp:lastPrinted>
  <dcterms:created xsi:type="dcterms:W3CDTF">2017-01-23T11:59:00Z</dcterms:created>
  <dcterms:modified xsi:type="dcterms:W3CDTF">2019-07-31T05:29:00Z</dcterms:modified>
</cp:coreProperties>
</file>