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95D8E" w14:textId="77777777" w:rsidR="009C6A48" w:rsidRPr="003F0647" w:rsidRDefault="00A94F96" w:rsidP="00073609">
      <w:pPr>
        <w:pStyle w:val="Heading10"/>
        <w:keepNext/>
        <w:keepLines/>
        <w:rPr>
          <w:color w:val="auto"/>
          <w:sz w:val="23"/>
          <w:szCs w:val="23"/>
        </w:rPr>
      </w:pPr>
      <w:bookmarkStart w:id="0" w:name="bookmark0"/>
      <w:r w:rsidRPr="003F0647">
        <w:rPr>
          <w:color w:val="auto"/>
          <w:sz w:val="23"/>
          <w:lang w:bidi="en-GB"/>
        </w:rPr>
        <w:t>PRIVACY NOTICE</w:t>
      </w:r>
      <w:bookmarkEnd w:id="0"/>
      <w:r w:rsidRPr="003F0647">
        <w:rPr>
          <w:color w:val="auto"/>
          <w:sz w:val="23"/>
          <w:lang w:bidi="en-GB"/>
        </w:rPr>
        <w:t xml:space="preserve"> </w:t>
      </w:r>
    </w:p>
    <w:p w14:paraId="3BFD7277" w14:textId="7297A031" w:rsidR="00073609" w:rsidRPr="003F0647" w:rsidRDefault="00A94F96" w:rsidP="00073609">
      <w:pPr>
        <w:pStyle w:val="Heading10"/>
        <w:keepNext/>
        <w:keepLines/>
        <w:rPr>
          <w:color w:val="auto"/>
          <w:sz w:val="23"/>
          <w:szCs w:val="23"/>
        </w:rPr>
      </w:pPr>
      <w:r w:rsidRPr="003F0647">
        <w:rPr>
          <w:color w:val="auto"/>
          <w:sz w:val="23"/>
          <w:lang w:bidi="en-GB"/>
        </w:rPr>
        <w:t>(FOR THE PURPOSE OF SENDING PROPERTY BANK’S NEWSLETTERS)</w:t>
      </w:r>
    </w:p>
    <w:p w14:paraId="33C4AFE8" w14:textId="27014027" w:rsidR="002D5C98" w:rsidRPr="003F0647" w:rsidRDefault="00D873C6" w:rsidP="00780E55">
      <w:pPr>
        <w:pStyle w:val="BodyText"/>
        <w:spacing w:after="360"/>
        <w:jc w:val="both"/>
        <w:rPr>
          <w:color w:val="auto"/>
          <w:sz w:val="23"/>
          <w:szCs w:val="23"/>
        </w:rPr>
      </w:pPr>
      <w:r w:rsidRPr="003F0647">
        <w:rPr>
          <w:color w:val="auto"/>
          <w:sz w:val="23"/>
          <w:lang w:bidi="en-GB"/>
        </w:rPr>
        <w:t xml:space="preserve">This </w:t>
      </w:r>
      <w:r w:rsidRPr="003F0647">
        <w:rPr>
          <w:b/>
          <w:color w:val="auto"/>
          <w:sz w:val="23"/>
          <w:lang w:bidi="en-GB"/>
        </w:rPr>
        <w:t>privacy notice applies</w:t>
      </w:r>
      <w:r w:rsidRPr="003F0647">
        <w:rPr>
          <w:color w:val="auto"/>
          <w:sz w:val="23"/>
          <w:lang w:bidi="en-GB"/>
        </w:rPr>
        <w:t xml:space="preserve"> to persons who </w:t>
      </w:r>
      <w:r w:rsidRPr="003F0647">
        <w:rPr>
          <w:b/>
          <w:i/>
          <w:color w:val="auto"/>
          <w:sz w:val="23"/>
          <w:lang w:bidi="en-GB"/>
        </w:rPr>
        <w:t xml:space="preserve">agree </w:t>
      </w:r>
      <w:r w:rsidRPr="003F0647">
        <w:rPr>
          <w:color w:val="auto"/>
          <w:sz w:val="23"/>
          <w:lang w:bidi="en-GB"/>
        </w:rPr>
        <w:t>to receive newsletters (direct marketing communications) of the State Enterprise Property Bank.</w:t>
      </w:r>
    </w:p>
    <w:p w14:paraId="33C4AFE9" w14:textId="77777777" w:rsidR="002D5C98" w:rsidRPr="003F0647" w:rsidRDefault="00D873C6" w:rsidP="00A94F96">
      <w:pPr>
        <w:pStyle w:val="Heading20"/>
        <w:keepNext/>
        <w:keepLines/>
        <w:jc w:val="both"/>
        <w:rPr>
          <w:color w:val="auto"/>
          <w:sz w:val="23"/>
          <w:szCs w:val="23"/>
        </w:rPr>
      </w:pPr>
      <w:bookmarkStart w:id="1" w:name="bookmark2"/>
      <w:r w:rsidRPr="003F0647">
        <w:rPr>
          <w:color w:val="auto"/>
          <w:sz w:val="23"/>
          <w:lang w:bidi="en-GB"/>
        </w:rPr>
        <w:t>Who is the controller of your personal data?</w:t>
      </w:r>
      <w:bookmarkEnd w:id="1"/>
    </w:p>
    <w:p w14:paraId="33C4AFEA" w14:textId="28B30AD2" w:rsidR="002D5C98" w:rsidRPr="003F0647" w:rsidRDefault="00A33398" w:rsidP="002B0519">
      <w:pPr>
        <w:pStyle w:val="BodyText"/>
        <w:rPr>
          <w:color w:val="auto"/>
          <w:sz w:val="23"/>
          <w:szCs w:val="23"/>
        </w:rPr>
      </w:pPr>
      <w:r w:rsidRPr="003F0647">
        <w:rPr>
          <w:color w:val="auto"/>
          <w:sz w:val="23"/>
          <w:lang w:bidi="en-GB"/>
        </w:rPr>
        <w:t>State Enterprise Property Bank (hereinafter referred to as Property Bank)</w:t>
      </w:r>
    </w:p>
    <w:tbl>
      <w:tblPr>
        <w:tblOverlap w:val="never"/>
        <w:tblW w:w="0" w:type="auto"/>
        <w:jc w:val="center"/>
        <w:tblLayout w:type="fixed"/>
        <w:tblCellMar>
          <w:left w:w="10" w:type="dxa"/>
          <w:right w:w="10" w:type="dxa"/>
        </w:tblCellMar>
        <w:tblLook w:val="0000" w:firstRow="0" w:lastRow="0" w:firstColumn="0" w:lastColumn="0" w:noHBand="0" w:noVBand="0"/>
      </w:tblPr>
      <w:tblGrid>
        <w:gridCol w:w="4742"/>
        <w:gridCol w:w="5390"/>
      </w:tblGrid>
      <w:tr w:rsidR="002D5C98" w:rsidRPr="003F0647" w14:paraId="33C4AFF1" w14:textId="77777777" w:rsidTr="00754F6C">
        <w:trPr>
          <w:trHeight w:hRule="exact" w:val="1359"/>
          <w:jc w:val="center"/>
        </w:trPr>
        <w:tc>
          <w:tcPr>
            <w:tcW w:w="4742" w:type="dxa"/>
            <w:tcBorders>
              <w:bottom w:val="single" w:sz="4" w:space="0" w:color="auto"/>
            </w:tcBorders>
            <w:shd w:val="clear" w:color="auto" w:fill="auto"/>
          </w:tcPr>
          <w:p w14:paraId="0EE7DA66" w14:textId="77777777" w:rsidR="00993F97" w:rsidRPr="003F0647" w:rsidRDefault="00D873C6">
            <w:pPr>
              <w:pStyle w:val="Other0"/>
              <w:spacing w:after="0"/>
              <w:ind w:left="140"/>
              <w:rPr>
                <w:color w:val="auto"/>
                <w:sz w:val="23"/>
                <w:szCs w:val="23"/>
              </w:rPr>
            </w:pPr>
            <w:r w:rsidRPr="003F0647">
              <w:rPr>
                <w:color w:val="auto"/>
                <w:sz w:val="23"/>
                <w:lang w:bidi="en-GB"/>
              </w:rPr>
              <w:t xml:space="preserve">Company code: 112021042 </w:t>
            </w:r>
          </w:p>
          <w:p w14:paraId="21D2D871" w14:textId="1800DB0F" w:rsidR="00993F97" w:rsidRPr="003F0647" w:rsidRDefault="00993F97">
            <w:pPr>
              <w:pStyle w:val="Other0"/>
              <w:spacing w:after="0"/>
              <w:ind w:left="140"/>
              <w:rPr>
                <w:color w:val="auto"/>
                <w:sz w:val="23"/>
                <w:szCs w:val="23"/>
              </w:rPr>
            </w:pPr>
            <w:r w:rsidRPr="003F0647">
              <w:rPr>
                <w:color w:val="auto"/>
                <w:sz w:val="23"/>
                <w:lang w:bidi="en-GB"/>
              </w:rPr>
              <w:t xml:space="preserve">Kęstučio g. 45, Vilnius </w:t>
            </w:r>
          </w:p>
          <w:p w14:paraId="3CC349E5" w14:textId="01A2A1F2" w:rsidR="00993F97" w:rsidRPr="003F0647" w:rsidRDefault="00D873C6">
            <w:pPr>
              <w:pStyle w:val="Other0"/>
              <w:spacing w:after="0"/>
              <w:ind w:left="140"/>
              <w:rPr>
                <w:color w:val="auto"/>
                <w:sz w:val="23"/>
                <w:szCs w:val="23"/>
              </w:rPr>
            </w:pPr>
            <w:r w:rsidRPr="003F0647">
              <w:rPr>
                <w:color w:val="auto"/>
                <w:sz w:val="23"/>
                <w:lang w:bidi="en-GB"/>
              </w:rPr>
              <w:t>Tel. (8 5) 278 0900</w:t>
            </w:r>
          </w:p>
          <w:p w14:paraId="33C4AFEB" w14:textId="49F079A7" w:rsidR="002D5C98" w:rsidRPr="003F0647" w:rsidRDefault="00D873C6">
            <w:pPr>
              <w:pStyle w:val="Other0"/>
              <w:spacing w:after="0"/>
              <w:ind w:left="140"/>
              <w:rPr>
                <w:color w:val="auto"/>
                <w:sz w:val="23"/>
                <w:szCs w:val="23"/>
              </w:rPr>
            </w:pPr>
            <w:r w:rsidRPr="003F0647">
              <w:rPr>
                <w:color w:val="auto"/>
                <w:sz w:val="23"/>
                <w:lang w:bidi="en-GB"/>
              </w:rPr>
              <w:t xml:space="preserve">E-mail: info@turtas.lt </w:t>
            </w:r>
          </w:p>
        </w:tc>
        <w:tc>
          <w:tcPr>
            <w:tcW w:w="5390" w:type="dxa"/>
            <w:tcBorders>
              <w:left w:val="single" w:sz="4" w:space="0" w:color="auto"/>
              <w:bottom w:val="single" w:sz="4" w:space="0" w:color="auto"/>
            </w:tcBorders>
            <w:shd w:val="clear" w:color="auto" w:fill="auto"/>
          </w:tcPr>
          <w:p w14:paraId="33C4AFED" w14:textId="316E98CD" w:rsidR="002D5C98" w:rsidRPr="003F0647" w:rsidRDefault="004D0356">
            <w:pPr>
              <w:pStyle w:val="Other0"/>
              <w:spacing w:after="0"/>
              <w:rPr>
                <w:color w:val="auto"/>
                <w:sz w:val="23"/>
                <w:szCs w:val="23"/>
              </w:rPr>
            </w:pPr>
            <w:r w:rsidRPr="003F0647">
              <w:rPr>
                <w:color w:val="auto"/>
                <w:sz w:val="23"/>
                <w:lang w:bidi="en-GB"/>
              </w:rPr>
              <w:t xml:space="preserve"> Data Protection Officer Neringa Baniūnė</w:t>
            </w:r>
          </w:p>
          <w:p w14:paraId="049CF594" w14:textId="73E07BA1" w:rsidR="00AF3CAC" w:rsidRPr="003F0647" w:rsidRDefault="00AF3CAC" w:rsidP="00AF3CAC">
            <w:pPr>
              <w:pStyle w:val="Other0"/>
              <w:spacing w:after="0"/>
              <w:rPr>
                <w:color w:val="auto"/>
                <w:sz w:val="23"/>
                <w:szCs w:val="23"/>
              </w:rPr>
            </w:pPr>
            <w:r w:rsidRPr="003F0647">
              <w:rPr>
                <w:color w:val="auto"/>
                <w:sz w:val="23"/>
                <w:lang w:bidi="en-GB"/>
              </w:rPr>
              <w:t xml:space="preserve"> Kęstučio g. 45, Vilnius </w:t>
            </w:r>
          </w:p>
          <w:p w14:paraId="33C4AFEF" w14:textId="3DD1B7D4" w:rsidR="002D5C98" w:rsidRPr="003F0647" w:rsidRDefault="00D873C6">
            <w:pPr>
              <w:pStyle w:val="Other0"/>
              <w:spacing w:after="0"/>
              <w:rPr>
                <w:color w:val="auto"/>
                <w:sz w:val="23"/>
                <w:szCs w:val="23"/>
              </w:rPr>
            </w:pPr>
            <w:r w:rsidRPr="003F0647">
              <w:rPr>
                <w:color w:val="auto"/>
                <w:sz w:val="23"/>
                <w:lang w:bidi="en-GB"/>
              </w:rPr>
              <w:t xml:space="preserve"> Tel. +370 689 13611</w:t>
            </w:r>
          </w:p>
          <w:p w14:paraId="33C4AFF0" w14:textId="2C1288D4" w:rsidR="002D5C98" w:rsidRPr="003F0647" w:rsidRDefault="00D873C6">
            <w:pPr>
              <w:pStyle w:val="Other0"/>
              <w:spacing w:after="0"/>
              <w:rPr>
                <w:color w:val="auto"/>
                <w:sz w:val="23"/>
                <w:szCs w:val="23"/>
              </w:rPr>
            </w:pPr>
            <w:r w:rsidRPr="003F0647">
              <w:rPr>
                <w:color w:val="auto"/>
                <w:sz w:val="23"/>
                <w:lang w:bidi="en-GB"/>
              </w:rPr>
              <w:t xml:space="preserve"> E-mail:</w:t>
            </w:r>
            <w:hyperlink r:id="rId7" w:history="1">
              <w:r w:rsidRPr="003F0647">
                <w:rPr>
                  <w:color w:val="auto"/>
                  <w:sz w:val="23"/>
                  <w:lang w:bidi="en-GB"/>
                </w:rPr>
                <w:t xml:space="preserve"> </w:t>
              </w:r>
            </w:hyperlink>
            <w:r w:rsidRPr="003F0647">
              <w:rPr>
                <w:color w:val="auto"/>
                <w:sz w:val="23"/>
                <w:lang w:bidi="en-GB"/>
              </w:rPr>
              <w:t>neringa.baniune@turtas.lt</w:t>
            </w:r>
          </w:p>
        </w:tc>
      </w:tr>
    </w:tbl>
    <w:p w14:paraId="33C4AFF2" w14:textId="77777777" w:rsidR="002D5C98" w:rsidRPr="003F0647" w:rsidRDefault="002D5C98" w:rsidP="00780E55">
      <w:pPr>
        <w:spacing w:after="360" w:line="1" w:lineRule="exact"/>
        <w:rPr>
          <w:color w:val="auto"/>
          <w:sz w:val="23"/>
          <w:szCs w:val="23"/>
        </w:rPr>
      </w:pPr>
    </w:p>
    <w:p w14:paraId="33C4AFF3" w14:textId="77777777" w:rsidR="002D5C98" w:rsidRPr="003F0647" w:rsidRDefault="00D873C6" w:rsidP="00780E55">
      <w:pPr>
        <w:pStyle w:val="Heading20"/>
        <w:keepNext/>
        <w:keepLines/>
        <w:spacing w:after="360"/>
        <w:jc w:val="both"/>
        <w:rPr>
          <w:color w:val="auto"/>
          <w:sz w:val="23"/>
          <w:szCs w:val="23"/>
        </w:rPr>
      </w:pPr>
      <w:bookmarkStart w:id="2" w:name="bookmark4"/>
      <w:r w:rsidRPr="003F0647">
        <w:rPr>
          <w:color w:val="auto"/>
          <w:sz w:val="23"/>
          <w:lang w:bidi="en-GB"/>
        </w:rPr>
        <w:t>For what purposes and under what legitimate processing circumstances will your personal data be processed?</w:t>
      </w:r>
      <w:bookmarkEnd w:id="2"/>
    </w:p>
    <w:p w14:paraId="33C4AFF4" w14:textId="50BD6B39" w:rsidR="002D5C98" w:rsidRPr="003F0647" w:rsidRDefault="00D873C6">
      <w:pPr>
        <w:pStyle w:val="BodyText"/>
        <w:jc w:val="both"/>
        <w:rPr>
          <w:color w:val="auto"/>
          <w:sz w:val="23"/>
          <w:szCs w:val="23"/>
        </w:rPr>
      </w:pPr>
      <w:r w:rsidRPr="003F0647">
        <w:rPr>
          <w:color w:val="auto"/>
          <w:sz w:val="23"/>
          <w:lang w:bidi="en-GB"/>
        </w:rPr>
        <w:t>If you choose to subscribe to the Property Bank’s newsletters (direct marketing messages), your personal data will be processed for the purpose of direct marketing (sending newsletters).</w:t>
      </w:r>
    </w:p>
    <w:p w14:paraId="33C4AFF5" w14:textId="161F5F22" w:rsidR="002D5C98" w:rsidRPr="003F0647" w:rsidRDefault="00D873C6" w:rsidP="00780E55">
      <w:pPr>
        <w:pStyle w:val="BodyText"/>
        <w:spacing w:after="360"/>
        <w:jc w:val="both"/>
        <w:rPr>
          <w:color w:val="auto"/>
          <w:sz w:val="23"/>
          <w:szCs w:val="23"/>
        </w:rPr>
      </w:pPr>
      <w:r w:rsidRPr="003F0647">
        <w:rPr>
          <w:color w:val="auto"/>
          <w:sz w:val="23"/>
          <w:lang w:bidi="en-GB"/>
        </w:rPr>
        <w:t xml:space="preserve">Please be informed that the processing of your personal data for the purpose of direct marketing is carried out on the basis of your consent (Article 6(1)(a) of the General Data Protection Regulation). In other words, you </w:t>
      </w:r>
      <w:r w:rsidRPr="003F0647">
        <w:rPr>
          <w:i/>
          <w:color w:val="auto"/>
          <w:sz w:val="23"/>
          <w:lang w:bidi="en-GB"/>
        </w:rPr>
        <w:t>are not obliged to subscribe</w:t>
      </w:r>
      <w:r w:rsidRPr="003F0647">
        <w:rPr>
          <w:color w:val="auto"/>
          <w:sz w:val="23"/>
          <w:lang w:bidi="en-GB"/>
        </w:rPr>
        <w:t xml:space="preserve"> to our </w:t>
      </w:r>
      <w:r w:rsidRPr="003F0647">
        <w:rPr>
          <w:i/>
          <w:color w:val="auto"/>
          <w:sz w:val="23"/>
          <w:lang w:bidi="en-GB"/>
        </w:rPr>
        <w:t>newsletter</w:t>
      </w:r>
      <w:r w:rsidRPr="003F0647">
        <w:rPr>
          <w:color w:val="auto"/>
          <w:sz w:val="23"/>
          <w:lang w:bidi="en-GB"/>
        </w:rPr>
        <w:t>, but if you want to subscribe to it, you must provide your personal data, because without it, the Property Bank will not be able to send you the newsletter (direct marketing communication).</w:t>
      </w:r>
    </w:p>
    <w:p w14:paraId="33C4AFF6" w14:textId="77777777" w:rsidR="002D5C98" w:rsidRPr="003F0647" w:rsidRDefault="00D873C6" w:rsidP="00780E55">
      <w:pPr>
        <w:pStyle w:val="BodyText"/>
        <w:spacing w:after="360"/>
        <w:jc w:val="both"/>
        <w:rPr>
          <w:color w:val="auto"/>
          <w:sz w:val="23"/>
          <w:szCs w:val="23"/>
        </w:rPr>
      </w:pPr>
      <w:r w:rsidRPr="003F0647">
        <w:rPr>
          <w:color w:val="auto"/>
          <w:sz w:val="23"/>
          <w:lang w:bidi="en-GB"/>
        </w:rPr>
        <w:t xml:space="preserve">Your </w:t>
      </w:r>
      <w:r w:rsidRPr="003F0647">
        <w:rPr>
          <w:i/>
          <w:color w:val="auto"/>
          <w:sz w:val="23"/>
          <w:lang w:bidi="en-GB"/>
        </w:rPr>
        <w:t xml:space="preserve">consent </w:t>
      </w:r>
      <w:r w:rsidRPr="003F0647">
        <w:rPr>
          <w:color w:val="auto"/>
          <w:sz w:val="23"/>
          <w:lang w:bidi="en-GB"/>
        </w:rPr>
        <w:t xml:space="preserve">will be </w:t>
      </w:r>
      <w:r w:rsidRPr="003F0647">
        <w:rPr>
          <w:b/>
          <w:i/>
          <w:color w:val="auto"/>
          <w:sz w:val="23"/>
          <w:lang w:bidi="en-GB"/>
        </w:rPr>
        <w:t xml:space="preserve">valid </w:t>
      </w:r>
      <w:r w:rsidRPr="003F0647">
        <w:rPr>
          <w:color w:val="auto"/>
          <w:sz w:val="23"/>
          <w:lang w:bidi="en-GB"/>
        </w:rPr>
        <w:t>for 5 years unless you revoke it earlier.</w:t>
      </w:r>
    </w:p>
    <w:p w14:paraId="33C4AFF7" w14:textId="77777777" w:rsidR="002D5C98" w:rsidRPr="003F0647" w:rsidRDefault="00D873C6">
      <w:pPr>
        <w:pStyle w:val="Heading20"/>
        <w:keepNext/>
        <w:keepLines/>
        <w:jc w:val="both"/>
        <w:rPr>
          <w:color w:val="auto"/>
          <w:sz w:val="23"/>
          <w:szCs w:val="23"/>
        </w:rPr>
      </w:pPr>
      <w:bookmarkStart w:id="3" w:name="bookmark6"/>
      <w:r w:rsidRPr="003F0647">
        <w:rPr>
          <w:color w:val="auto"/>
          <w:sz w:val="23"/>
          <w:lang w:bidi="en-GB"/>
        </w:rPr>
        <w:t>What personal data are processed?</w:t>
      </w:r>
      <w:bookmarkEnd w:id="3"/>
    </w:p>
    <w:p w14:paraId="33C4AFF8" w14:textId="578DA1EA" w:rsidR="002D5C98" w:rsidRPr="003F0647" w:rsidRDefault="00D873C6">
      <w:pPr>
        <w:pStyle w:val="BodyText"/>
        <w:jc w:val="both"/>
        <w:rPr>
          <w:color w:val="auto"/>
          <w:sz w:val="23"/>
          <w:szCs w:val="23"/>
        </w:rPr>
      </w:pPr>
      <w:r w:rsidRPr="003F0647">
        <w:rPr>
          <w:color w:val="auto"/>
          <w:sz w:val="23"/>
          <w:lang w:bidi="en-GB"/>
        </w:rPr>
        <w:t xml:space="preserve">Please be informed that if you subscribe to the Property Bank’s newsletters (direct marketing messages), the Property Bank will process </w:t>
      </w:r>
      <w:r w:rsidRPr="003F0647">
        <w:rPr>
          <w:b/>
          <w:color w:val="auto"/>
          <w:sz w:val="23"/>
          <w:lang w:bidi="en-GB"/>
        </w:rPr>
        <w:t>the following personal data about you</w:t>
      </w:r>
      <w:r w:rsidRPr="003F0647">
        <w:rPr>
          <w:color w:val="auto"/>
          <w:sz w:val="23"/>
          <w:lang w:bidi="en-GB"/>
        </w:rP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4574"/>
        <w:gridCol w:w="5558"/>
      </w:tblGrid>
      <w:tr w:rsidR="00666472" w:rsidRPr="003F0647" w14:paraId="33C4AFFB" w14:textId="77777777">
        <w:trPr>
          <w:trHeight w:hRule="exact" w:val="374"/>
          <w:jc w:val="center"/>
        </w:trPr>
        <w:tc>
          <w:tcPr>
            <w:tcW w:w="4574" w:type="dxa"/>
            <w:shd w:val="clear" w:color="auto" w:fill="auto"/>
          </w:tcPr>
          <w:p w14:paraId="33C4AFF9" w14:textId="77777777" w:rsidR="002D5C98" w:rsidRPr="003F0647" w:rsidRDefault="00D873C6">
            <w:pPr>
              <w:pStyle w:val="Other0"/>
              <w:spacing w:after="0"/>
              <w:ind w:firstLine="140"/>
              <w:rPr>
                <w:color w:val="auto"/>
                <w:sz w:val="23"/>
                <w:szCs w:val="23"/>
              </w:rPr>
            </w:pPr>
            <w:r w:rsidRPr="003F0647">
              <w:rPr>
                <w:b/>
                <w:color w:val="auto"/>
                <w:sz w:val="23"/>
                <w:lang w:bidi="en-GB"/>
              </w:rPr>
              <w:t xml:space="preserve">Contact </w:t>
            </w:r>
            <w:r w:rsidRPr="003F0647">
              <w:rPr>
                <w:color w:val="auto"/>
                <w:sz w:val="23"/>
                <w:lang w:bidi="en-GB"/>
              </w:rPr>
              <w:t>details</w:t>
            </w:r>
          </w:p>
        </w:tc>
        <w:tc>
          <w:tcPr>
            <w:tcW w:w="5558" w:type="dxa"/>
            <w:tcBorders>
              <w:left w:val="single" w:sz="4" w:space="0" w:color="auto"/>
            </w:tcBorders>
            <w:shd w:val="clear" w:color="auto" w:fill="auto"/>
          </w:tcPr>
          <w:p w14:paraId="33C4AFFA" w14:textId="318607B9" w:rsidR="002D5C98" w:rsidRPr="003F0647" w:rsidRDefault="00D873C6">
            <w:pPr>
              <w:pStyle w:val="Other0"/>
              <w:spacing w:after="0"/>
              <w:rPr>
                <w:color w:val="auto"/>
                <w:sz w:val="23"/>
                <w:szCs w:val="23"/>
              </w:rPr>
            </w:pPr>
            <w:r w:rsidRPr="003F0647">
              <w:rPr>
                <w:color w:val="auto"/>
                <w:sz w:val="23"/>
                <w:lang w:bidi="en-GB"/>
              </w:rPr>
              <w:t xml:space="preserve"> e-mail address</w:t>
            </w:r>
          </w:p>
        </w:tc>
      </w:tr>
      <w:tr w:rsidR="00666472" w:rsidRPr="003F0647" w14:paraId="33C4B000" w14:textId="77777777">
        <w:trPr>
          <w:trHeight w:hRule="exact" w:val="1286"/>
          <w:jc w:val="center"/>
        </w:trPr>
        <w:tc>
          <w:tcPr>
            <w:tcW w:w="4574" w:type="dxa"/>
            <w:tcBorders>
              <w:top w:val="single" w:sz="4" w:space="0" w:color="auto"/>
            </w:tcBorders>
            <w:shd w:val="clear" w:color="auto" w:fill="auto"/>
          </w:tcPr>
          <w:p w14:paraId="33C4AFFC" w14:textId="65D2DE06" w:rsidR="002D5C98" w:rsidRPr="003F0647" w:rsidRDefault="00D873C6">
            <w:pPr>
              <w:pStyle w:val="Other0"/>
              <w:spacing w:after="120"/>
              <w:ind w:left="140"/>
              <w:rPr>
                <w:color w:val="auto"/>
                <w:sz w:val="23"/>
                <w:szCs w:val="23"/>
              </w:rPr>
            </w:pPr>
            <w:r w:rsidRPr="003F0647">
              <w:rPr>
                <w:color w:val="auto"/>
                <w:sz w:val="23"/>
                <w:lang w:bidi="en-GB"/>
              </w:rPr>
              <w:t xml:space="preserve">Data related to the confirmation and </w:t>
            </w:r>
            <w:r w:rsidRPr="003F0647">
              <w:rPr>
                <w:b/>
                <w:color w:val="auto"/>
                <w:sz w:val="23"/>
                <w:lang w:bidi="en-GB"/>
              </w:rPr>
              <w:t>validity</w:t>
            </w:r>
            <w:r w:rsidRPr="003F0647">
              <w:rPr>
                <w:color w:val="auto"/>
                <w:sz w:val="23"/>
                <w:lang w:bidi="en-GB"/>
              </w:rPr>
              <w:t xml:space="preserve"> of the </w:t>
            </w:r>
            <w:r w:rsidRPr="003F0647">
              <w:rPr>
                <w:b/>
                <w:color w:val="auto"/>
                <w:sz w:val="23"/>
                <w:lang w:bidi="en-GB"/>
              </w:rPr>
              <w:t>consent to receive the Property Bank’s newsletter</w:t>
            </w:r>
          </w:p>
          <w:p w14:paraId="33C4AFFD" w14:textId="77777777" w:rsidR="002D5C98" w:rsidRPr="003F0647" w:rsidRDefault="00D873C6">
            <w:pPr>
              <w:pStyle w:val="Other0"/>
              <w:spacing w:after="0"/>
              <w:ind w:left="140"/>
              <w:rPr>
                <w:color w:val="auto"/>
                <w:sz w:val="23"/>
                <w:szCs w:val="23"/>
              </w:rPr>
            </w:pPr>
            <w:r w:rsidRPr="003F0647">
              <w:rPr>
                <w:b/>
                <w:color w:val="auto"/>
                <w:sz w:val="23"/>
                <w:lang w:bidi="en-GB"/>
              </w:rPr>
              <w:t>Other</w:t>
            </w:r>
            <w:r w:rsidRPr="003F0647">
              <w:rPr>
                <w:color w:val="auto"/>
                <w:sz w:val="23"/>
                <w:lang w:bidi="en-GB"/>
              </w:rPr>
              <w:t xml:space="preserve"> personal data</w:t>
            </w:r>
          </w:p>
        </w:tc>
        <w:tc>
          <w:tcPr>
            <w:tcW w:w="5558" w:type="dxa"/>
            <w:tcBorders>
              <w:top w:val="single" w:sz="4" w:space="0" w:color="auto"/>
              <w:left w:val="single" w:sz="4" w:space="0" w:color="auto"/>
            </w:tcBorders>
            <w:shd w:val="clear" w:color="auto" w:fill="auto"/>
            <w:vAlign w:val="bottom"/>
          </w:tcPr>
          <w:p w14:paraId="33C4AFFE" w14:textId="0BBFD9ED" w:rsidR="002D5C98" w:rsidRPr="003F0647" w:rsidRDefault="00D873C6" w:rsidP="002B0519">
            <w:pPr>
              <w:pStyle w:val="Other0"/>
              <w:spacing w:after="120"/>
              <w:ind w:left="95"/>
              <w:rPr>
                <w:color w:val="auto"/>
                <w:sz w:val="23"/>
                <w:szCs w:val="23"/>
              </w:rPr>
            </w:pPr>
            <w:r w:rsidRPr="003F0647">
              <w:rPr>
                <w:color w:val="auto"/>
                <w:sz w:val="23"/>
                <w:lang w:bidi="en-GB"/>
              </w:rPr>
              <w:t>fact, date and time of confirmation; fact, date and time of withdrawal of consent</w:t>
            </w:r>
          </w:p>
          <w:p w14:paraId="33C4AFFF" w14:textId="76450301" w:rsidR="002D5C98" w:rsidRPr="003F0647" w:rsidRDefault="00D873C6" w:rsidP="00780E55">
            <w:pPr>
              <w:pStyle w:val="Other0"/>
              <w:spacing w:after="0"/>
              <w:ind w:left="95"/>
              <w:rPr>
                <w:color w:val="auto"/>
                <w:sz w:val="23"/>
                <w:szCs w:val="23"/>
              </w:rPr>
            </w:pPr>
            <w:r w:rsidRPr="003F0647">
              <w:rPr>
                <w:color w:val="auto"/>
                <w:sz w:val="23"/>
                <w:lang w:bidi="en-GB"/>
              </w:rPr>
              <w:t xml:space="preserve">correspondence </w:t>
            </w:r>
            <w:r w:rsidRPr="003F0647">
              <w:rPr>
                <w:i/>
                <w:color w:val="auto"/>
                <w:sz w:val="23"/>
                <w:lang w:bidi="en-GB"/>
              </w:rPr>
              <w:t>(where it identifies a natural person)</w:t>
            </w:r>
          </w:p>
        </w:tc>
      </w:tr>
    </w:tbl>
    <w:p w14:paraId="33C4B001" w14:textId="77777777" w:rsidR="002D5C98" w:rsidRPr="003F0647" w:rsidRDefault="00D873C6">
      <w:pPr>
        <w:pStyle w:val="Heading20"/>
        <w:keepNext/>
        <w:keepLines/>
        <w:spacing w:after="320"/>
        <w:rPr>
          <w:color w:val="auto"/>
          <w:sz w:val="23"/>
          <w:szCs w:val="23"/>
        </w:rPr>
      </w:pPr>
      <w:bookmarkStart w:id="4" w:name="bookmark8"/>
      <w:r w:rsidRPr="003F0647">
        <w:rPr>
          <w:color w:val="auto"/>
          <w:sz w:val="23"/>
          <w:lang w:bidi="en-GB"/>
        </w:rPr>
        <w:lastRenderedPageBreak/>
        <w:t>Who will your personal data be provided to?</w:t>
      </w:r>
      <w:bookmarkEnd w:id="4"/>
    </w:p>
    <w:p w14:paraId="33C4B002" w14:textId="77777777" w:rsidR="002D5C98" w:rsidRPr="003F0647" w:rsidRDefault="00D873C6">
      <w:pPr>
        <w:pStyle w:val="BodyText"/>
        <w:spacing w:after="0"/>
        <w:jc w:val="both"/>
        <w:rPr>
          <w:color w:val="auto"/>
          <w:sz w:val="23"/>
          <w:szCs w:val="23"/>
        </w:rPr>
      </w:pPr>
      <w:r w:rsidRPr="003F0647">
        <w:rPr>
          <w:color w:val="auto"/>
          <w:sz w:val="23"/>
          <w:lang w:bidi="en-GB"/>
        </w:rPr>
        <w:t>We do not intend to disclose your personal data to third parties, including those located in third countries.</w:t>
      </w:r>
    </w:p>
    <w:p w14:paraId="33C4B003" w14:textId="5AA38EA0" w:rsidR="002D5C98" w:rsidRPr="003F0647" w:rsidRDefault="00D873C6" w:rsidP="00A94F96">
      <w:pPr>
        <w:pStyle w:val="BodyText"/>
        <w:spacing w:after="360"/>
        <w:jc w:val="both"/>
        <w:rPr>
          <w:color w:val="auto"/>
          <w:sz w:val="23"/>
          <w:szCs w:val="23"/>
        </w:rPr>
      </w:pPr>
      <w:r w:rsidRPr="003F0647">
        <w:rPr>
          <w:color w:val="auto"/>
          <w:sz w:val="23"/>
          <w:lang w:bidi="en-GB"/>
        </w:rPr>
        <w:t xml:space="preserve">Please be informed that in the cases provided for by law and where the provision of personal data is necessary and proportionate for legitimate and specific purposes, your personal data may be communicated </w:t>
      </w:r>
      <w:r w:rsidRPr="003F0647">
        <w:rPr>
          <w:i/>
          <w:color w:val="auto"/>
          <w:sz w:val="23"/>
          <w:lang w:bidi="en-GB"/>
        </w:rPr>
        <w:t>to courts and/or other bodies in accordance with the procedure established by law.</w:t>
      </w:r>
    </w:p>
    <w:p w14:paraId="33C4B004" w14:textId="77777777" w:rsidR="002D5C98" w:rsidRPr="003F0647" w:rsidRDefault="00D873C6">
      <w:pPr>
        <w:pStyle w:val="Heading20"/>
        <w:keepNext/>
        <w:keepLines/>
        <w:jc w:val="both"/>
        <w:rPr>
          <w:color w:val="auto"/>
          <w:sz w:val="23"/>
          <w:szCs w:val="23"/>
        </w:rPr>
      </w:pPr>
      <w:bookmarkStart w:id="5" w:name="bookmark10"/>
      <w:r w:rsidRPr="003F0647">
        <w:rPr>
          <w:color w:val="auto"/>
          <w:sz w:val="23"/>
          <w:lang w:bidi="en-GB"/>
        </w:rPr>
        <w:t>How long will your personal data be retained?</w:t>
      </w:r>
      <w:bookmarkEnd w:id="5"/>
    </w:p>
    <w:p w14:paraId="33C4B005" w14:textId="65650861" w:rsidR="002D5C98" w:rsidRPr="003F0647" w:rsidRDefault="00D873C6" w:rsidP="00A94F96">
      <w:pPr>
        <w:pStyle w:val="BodyText"/>
        <w:spacing w:after="360"/>
        <w:jc w:val="both"/>
        <w:rPr>
          <w:color w:val="auto"/>
          <w:sz w:val="23"/>
          <w:szCs w:val="23"/>
        </w:rPr>
      </w:pPr>
      <w:r w:rsidRPr="003F0647">
        <w:rPr>
          <w:color w:val="auto"/>
          <w:sz w:val="23"/>
          <w:lang w:bidi="en-GB"/>
        </w:rPr>
        <w:t>If you subscribe to newsletters (direct marketing communications), your personal data will be retained by the Property Bank for the period of validity of the consent, as well as for the purposes of archiving requirements, for a period of 2 years after the expiry of the consent.</w:t>
      </w:r>
    </w:p>
    <w:p w14:paraId="33C4B006" w14:textId="77777777" w:rsidR="002D5C98" w:rsidRPr="003F0647" w:rsidRDefault="00D873C6" w:rsidP="00A94F96">
      <w:pPr>
        <w:pStyle w:val="Heading20"/>
        <w:keepNext/>
        <w:keepLines/>
        <w:spacing w:after="360"/>
        <w:jc w:val="both"/>
        <w:rPr>
          <w:color w:val="auto"/>
          <w:sz w:val="23"/>
          <w:szCs w:val="23"/>
        </w:rPr>
      </w:pPr>
      <w:bookmarkStart w:id="6" w:name="bookmark12"/>
      <w:r w:rsidRPr="003F0647">
        <w:rPr>
          <w:color w:val="auto"/>
          <w:sz w:val="23"/>
          <w:lang w:bidi="en-GB"/>
        </w:rPr>
        <w:t>What rights do you have and how do you exercise them?</w:t>
      </w:r>
      <w:bookmarkEnd w:id="6"/>
    </w:p>
    <w:p w14:paraId="33C4B007" w14:textId="77777777" w:rsidR="002D5C98" w:rsidRPr="003F0647" w:rsidRDefault="00D873C6">
      <w:pPr>
        <w:pStyle w:val="BodyText"/>
        <w:spacing w:after="0"/>
        <w:jc w:val="both"/>
        <w:rPr>
          <w:color w:val="auto"/>
          <w:sz w:val="23"/>
          <w:szCs w:val="23"/>
        </w:rPr>
      </w:pPr>
      <w:r w:rsidRPr="003F0647">
        <w:rPr>
          <w:color w:val="auto"/>
          <w:sz w:val="23"/>
          <w:lang w:bidi="en-GB"/>
        </w:rPr>
        <w:t>As a data subject, you have the following rights:</w:t>
      </w:r>
    </w:p>
    <w:p w14:paraId="33C4B008" w14:textId="77777777" w:rsidR="002D5C98" w:rsidRPr="003F0647" w:rsidRDefault="00D873C6">
      <w:pPr>
        <w:pStyle w:val="BodyText"/>
        <w:numPr>
          <w:ilvl w:val="0"/>
          <w:numId w:val="1"/>
        </w:numPr>
        <w:tabs>
          <w:tab w:val="left" w:pos="721"/>
        </w:tabs>
        <w:spacing w:after="0"/>
        <w:ind w:firstLine="380"/>
        <w:jc w:val="both"/>
        <w:rPr>
          <w:color w:val="auto"/>
          <w:sz w:val="23"/>
          <w:szCs w:val="23"/>
        </w:rPr>
      </w:pPr>
      <w:r w:rsidRPr="003F0647">
        <w:rPr>
          <w:color w:val="auto"/>
          <w:sz w:val="23"/>
          <w:lang w:bidi="en-GB"/>
        </w:rPr>
        <w:t>The right to receive information about data processing;</w:t>
      </w:r>
    </w:p>
    <w:p w14:paraId="33C4B009" w14:textId="77777777" w:rsidR="002D5C98" w:rsidRPr="003F0647" w:rsidRDefault="00D873C6">
      <w:pPr>
        <w:pStyle w:val="BodyText"/>
        <w:numPr>
          <w:ilvl w:val="0"/>
          <w:numId w:val="1"/>
        </w:numPr>
        <w:tabs>
          <w:tab w:val="left" w:pos="738"/>
        </w:tabs>
        <w:spacing w:after="0"/>
        <w:ind w:firstLine="380"/>
        <w:jc w:val="both"/>
        <w:rPr>
          <w:color w:val="auto"/>
          <w:sz w:val="23"/>
          <w:szCs w:val="23"/>
        </w:rPr>
      </w:pPr>
      <w:r w:rsidRPr="003F0647">
        <w:rPr>
          <w:color w:val="auto"/>
          <w:sz w:val="23"/>
          <w:lang w:bidi="en-GB"/>
        </w:rPr>
        <w:t>The right of access to data;</w:t>
      </w:r>
    </w:p>
    <w:p w14:paraId="33C4B00A" w14:textId="77777777" w:rsidR="002D5C98" w:rsidRPr="003F0647" w:rsidRDefault="00D873C6">
      <w:pPr>
        <w:pStyle w:val="BodyText"/>
        <w:numPr>
          <w:ilvl w:val="0"/>
          <w:numId w:val="1"/>
        </w:numPr>
        <w:tabs>
          <w:tab w:val="left" w:pos="734"/>
        </w:tabs>
        <w:spacing w:after="0"/>
        <w:ind w:firstLine="380"/>
        <w:jc w:val="both"/>
        <w:rPr>
          <w:color w:val="auto"/>
          <w:sz w:val="23"/>
          <w:szCs w:val="23"/>
        </w:rPr>
      </w:pPr>
      <w:r w:rsidRPr="003F0647">
        <w:rPr>
          <w:color w:val="auto"/>
          <w:sz w:val="23"/>
          <w:lang w:bidi="en-GB"/>
        </w:rPr>
        <w:t>The right to request rectification of data;</w:t>
      </w:r>
    </w:p>
    <w:p w14:paraId="33C4B00B" w14:textId="77777777" w:rsidR="002D5C98" w:rsidRPr="003F0647" w:rsidRDefault="00D873C6">
      <w:pPr>
        <w:pStyle w:val="BodyText"/>
        <w:numPr>
          <w:ilvl w:val="0"/>
          <w:numId w:val="1"/>
        </w:numPr>
        <w:tabs>
          <w:tab w:val="left" w:pos="738"/>
        </w:tabs>
        <w:spacing w:after="0"/>
        <w:ind w:firstLine="380"/>
        <w:jc w:val="both"/>
        <w:rPr>
          <w:color w:val="auto"/>
          <w:sz w:val="23"/>
          <w:szCs w:val="23"/>
        </w:rPr>
      </w:pPr>
      <w:r w:rsidRPr="003F0647">
        <w:rPr>
          <w:color w:val="auto"/>
          <w:sz w:val="23"/>
          <w:lang w:bidi="en-GB"/>
        </w:rPr>
        <w:t>The right to have your data erased (‘the right to be forgotten’);</w:t>
      </w:r>
    </w:p>
    <w:p w14:paraId="33C4B00C" w14:textId="77777777" w:rsidR="002D5C98" w:rsidRPr="003F0647" w:rsidRDefault="00D873C6">
      <w:pPr>
        <w:pStyle w:val="BodyText"/>
        <w:numPr>
          <w:ilvl w:val="0"/>
          <w:numId w:val="1"/>
        </w:numPr>
        <w:tabs>
          <w:tab w:val="left" w:pos="734"/>
        </w:tabs>
        <w:spacing w:after="0"/>
        <w:ind w:firstLine="380"/>
        <w:jc w:val="both"/>
        <w:rPr>
          <w:color w:val="auto"/>
          <w:sz w:val="23"/>
          <w:szCs w:val="23"/>
        </w:rPr>
      </w:pPr>
      <w:r w:rsidRPr="003F0647">
        <w:rPr>
          <w:color w:val="auto"/>
          <w:sz w:val="23"/>
          <w:lang w:bidi="en-GB"/>
        </w:rPr>
        <w:t>The right to restrict data processing;</w:t>
      </w:r>
    </w:p>
    <w:p w14:paraId="33C4B00D" w14:textId="77777777" w:rsidR="002D5C98" w:rsidRPr="003F0647" w:rsidRDefault="00D873C6">
      <w:pPr>
        <w:pStyle w:val="BodyText"/>
        <w:numPr>
          <w:ilvl w:val="0"/>
          <w:numId w:val="1"/>
        </w:numPr>
        <w:tabs>
          <w:tab w:val="left" w:pos="734"/>
        </w:tabs>
        <w:spacing w:after="0"/>
        <w:ind w:firstLine="380"/>
        <w:jc w:val="both"/>
        <w:rPr>
          <w:color w:val="auto"/>
          <w:sz w:val="23"/>
          <w:szCs w:val="23"/>
        </w:rPr>
      </w:pPr>
      <w:r w:rsidRPr="003F0647">
        <w:rPr>
          <w:color w:val="auto"/>
          <w:sz w:val="23"/>
          <w:lang w:bidi="en-GB"/>
        </w:rPr>
        <w:t>The right to transfer personal data;</w:t>
      </w:r>
    </w:p>
    <w:p w14:paraId="33C4B00E" w14:textId="77777777" w:rsidR="002D5C98" w:rsidRPr="003F0647" w:rsidRDefault="00D873C6" w:rsidP="00A94F96">
      <w:pPr>
        <w:pStyle w:val="BodyText"/>
        <w:numPr>
          <w:ilvl w:val="0"/>
          <w:numId w:val="1"/>
        </w:numPr>
        <w:tabs>
          <w:tab w:val="left" w:pos="734"/>
        </w:tabs>
        <w:spacing w:after="360"/>
        <w:ind w:firstLine="380"/>
        <w:jc w:val="both"/>
        <w:rPr>
          <w:color w:val="auto"/>
          <w:sz w:val="23"/>
          <w:szCs w:val="23"/>
        </w:rPr>
      </w:pPr>
      <w:r w:rsidRPr="003F0647">
        <w:rPr>
          <w:b/>
          <w:color w:val="auto"/>
          <w:sz w:val="23"/>
          <w:lang w:bidi="en-GB"/>
        </w:rPr>
        <w:t>The right to withhold or withdraw consent at any time.</w:t>
      </w:r>
    </w:p>
    <w:p w14:paraId="33C4B00F" w14:textId="77777777" w:rsidR="002D5C98" w:rsidRPr="003F0647" w:rsidRDefault="00D873C6">
      <w:pPr>
        <w:pStyle w:val="BodyText"/>
        <w:spacing w:after="0"/>
        <w:jc w:val="both"/>
        <w:rPr>
          <w:color w:val="auto"/>
          <w:sz w:val="23"/>
          <w:szCs w:val="23"/>
        </w:rPr>
      </w:pPr>
      <w:r w:rsidRPr="003F0647">
        <w:rPr>
          <w:color w:val="auto"/>
          <w:sz w:val="23"/>
          <w:lang w:bidi="en-GB"/>
        </w:rPr>
        <w:t xml:space="preserve">Please note that you can </w:t>
      </w:r>
      <w:r w:rsidRPr="003F0647">
        <w:rPr>
          <w:b/>
          <w:i/>
          <w:color w:val="auto"/>
          <w:sz w:val="23"/>
          <w:lang w:bidi="en-GB"/>
        </w:rPr>
        <w:t>withdraw</w:t>
      </w:r>
      <w:r w:rsidRPr="003F0647">
        <w:rPr>
          <w:color w:val="auto"/>
          <w:sz w:val="23"/>
          <w:lang w:bidi="en-GB"/>
        </w:rPr>
        <w:t xml:space="preserve"> your </w:t>
      </w:r>
      <w:r w:rsidRPr="003F0647">
        <w:rPr>
          <w:b/>
          <w:i/>
          <w:color w:val="auto"/>
          <w:sz w:val="23"/>
          <w:lang w:bidi="en-GB"/>
        </w:rPr>
        <w:t>consent to receive newsletters in the following ways</w:t>
      </w:r>
      <w:r w:rsidRPr="003F0647">
        <w:rPr>
          <w:color w:val="auto"/>
          <w:sz w:val="23"/>
          <w:lang w:bidi="en-GB"/>
        </w:rPr>
        <w:t>:</w:t>
      </w:r>
    </w:p>
    <w:p w14:paraId="33C4B010" w14:textId="5C3B81A0" w:rsidR="002D5C98" w:rsidRPr="003F0647" w:rsidRDefault="00D873C6" w:rsidP="00A94F96">
      <w:pPr>
        <w:pStyle w:val="BodyText"/>
        <w:numPr>
          <w:ilvl w:val="0"/>
          <w:numId w:val="2"/>
        </w:numPr>
        <w:tabs>
          <w:tab w:val="left" w:pos="721"/>
        </w:tabs>
        <w:spacing w:after="0"/>
        <w:ind w:firstLine="426"/>
        <w:rPr>
          <w:color w:val="auto"/>
          <w:sz w:val="23"/>
          <w:szCs w:val="23"/>
        </w:rPr>
      </w:pPr>
      <w:r w:rsidRPr="003F0647">
        <w:rPr>
          <w:color w:val="auto"/>
          <w:sz w:val="23"/>
          <w:lang w:bidi="en-GB"/>
        </w:rPr>
        <w:t>Click on ‘Unsubscribe from newsletter’ in the email notification you receive (if this feature is available in the respective email notification);</w:t>
      </w:r>
    </w:p>
    <w:p w14:paraId="24A88911" w14:textId="77777777" w:rsidR="00A94F96" w:rsidRPr="003F0647" w:rsidRDefault="00D873C6" w:rsidP="00A94F96">
      <w:pPr>
        <w:pStyle w:val="BodyText"/>
        <w:numPr>
          <w:ilvl w:val="0"/>
          <w:numId w:val="2"/>
        </w:numPr>
        <w:tabs>
          <w:tab w:val="left" w:pos="738"/>
        </w:tabs>
        <w:spacing w:after="360"/>
        <w:ind w:firstLine="426"/>
        <w:rPr>
          <w:color w:val="auto"/>
          <w:sz w:val="23"/>
          <w:szCs w:val="23"/>
        </w:rPr>
      </w:pPr>
      <w:r w:rsidRPr="003F0647">
        <w:rPr>
          <w:color w:val="auto"/>
          <w:sz w:val="23"/>
          <w:lang w:bidi="en-GB"/>
        </w:rPr>
        <w:t xml:space="preserve">By contacting the Property Bank from the email address you have registered for the newsletter with the relevant request. </w:t>
      </w:r>
    </w:p>
    <w:p w14:paraId="3D2130FD" w14:textId="77777777" w:rsidR="004C3405" w:rsidRPr="003F0647" w:rsidRDefault="004C3405" w:rsidP="00CB5F94">
      <w:pPr>
        <w:pStyle w:val="BodyText"/>
        <w:spacing w:after="0"/>
        <w:jc w:val="both"/>
        <w:rPr>
          <w:color w:val="auto"/>
          <w:sz w:val="23"/>
          <w:szCs w:val="23"/>
          <w:lang w:eastAsia="en-US" w:bidi="en-US"/>
        </w:rPr>
      </w:pPr>
      <w:r w:rsidRPr="003F0647">
        <w:rPr>
          <w:color w:val="auto"/>
          <w:sz w:val="23"/>
          <w:lang w:bidi="en-GB"/>
        </w:rPr>
        <w:t xml:space="preserve">Please note that if you withdraw your consent, you may still receive the Property Bank’s newsletters (direct marketing communications) while your request is being processed and information about the processing of your data is being updated. </w:t>
      </w:r>
    </w:p>
    <w:p w14:paraId="56F3C86F" w14:textId="77777777" w:rsidR="004C3405" w:rsidRPr="003F0647" w:rsidRDefault="004C3405" w:rsidP="00CB5F94">
      <w:pPr>
        <w:pStyle w:val="BodyText"/>
        <w:spacing w:after="0"/>
        <w:jc w:val="both"/>
        <w:rPr>
          <w:color w:val="auto"/>
          <w:sz w:val="23"/>
          <w:szCs w:val="23"/>
          <w:lang w:eastAsia="en-US" w:bidi="en-US"/>
        </w:rPr>
      </w:pPr>
    </w:p>
    <w:p w14:paraId="33C4B012" w14:textId="3D61407D" w:rsidR="002D5C98" w:rsidRPr="003F0647" w:rsidRDefault="00D873C6" w:rsidP="00CB5F94">
      <w:pPr>
        <w:pStyle w:val="BodyText"/>
        <w:spacing w:after="0"/>
        <w:jc w:val="both"/>
        <w:rPr>
          <w:color w:val="auto"/>
          <w:sz w:val="23"/>
          <w:szCs w:val="23"/>
          <w:lang w:eastAsia="en-US" w:bidi="en-US"/>
        </w:rPr>
      </w:pPr>
      <w:r w:rsidRPr="003F0647">
        <w:rPr>
          <w:color w:val="auto"/>
          <w:sz w:val="23"/>
          <w:lang w:bidi="en-GB"/>
        </w:rPr>
        <w:t xml:space="preserve">For information on how to exercise </w:t>
      </w:r>
      <w:r w:rsidRPr="003F0647">
        <w:rPr>
          <w:b/>
          <w:i/>
          <w:color w:val="auto"/>
          <w:sz w:val="23"/>
          <w:lang w:bidi="en-GB"/>
        </w:rPr>
        <w:t xml:space="preserve">other </w:t>
      </w:r>
      <w:r w:rsidRPr="003F0647">
        <w:rPr>
          <w:color w:val="auto"/>
          <w:sz w:val="23"/>
          <w:lang w:bidi="en-GB"/>
        </w:rPr>
        <w:t xml:space="preserve">data subjects’ rights in the Property Bank, see: </w:t>
      </w:r>
    </w:p>
    <w:p w14:paraId="75489221" w14:textId="7A94A73A" w:rsidR="009804E1" w:rsidRPr="003F0647" w:rsidRDefault="00CB5F94" w:rsidP="00A94F96">
      <w:pPr>
        <w:pStyle w:val="BodyText"/>
        <w:numPr>
          <w:ilvl w:val="0"/>
          <w:numId w:val="3"/>
        </w:numPr>
        <w:spacing w:after="0"/>
        <w:ind w:hanging="294"/>
        <w:jc w:val="both"/>
        <w:rPr>
          <w:color w:val="auto"/>
          <w:sz w:val="23"/>
          <w:szCs w:val="23"/>
        </w:rPr>
      </w:pPr>
      <w:r w:rsidRPr="003F0647">
        <w:rPr>
          <w:color w:val="auto"/>
          <w:sz w:val="23"/>
          <w:lang w:bidi="en-GB"/>
        </w:rPr>
        <w:t>Rules on personal data processing of the State Enterprise Property Bank (</w:t>
      </w:r>
      <w:hyperlink r:id="rId8" w:history="1">
        <w:r w:rsidR="009804E1" w:rsidRPr="003F0647">
          <w:rPr>
            <w:rStyle w:val="Hyperlink"/>
            <w:color w:val="auto"/>
            <w:sz w:val="23"/>
            <w:lang w:bidi="en-GB"/>
          </w:rPr>
          <w:t>https://turtas.lt/wp-content/uploads/2022/03/valstybes-imones-turto-banko-asmens-duomenu-tvarkymo-taisykles-1.pdf</w:t>
        </w:r>
      </w:hyperlink>
      <w:r w:rsidRPr="003F0647">
        <w:rPr>
          <w:color w:val="auto"/>
          <w:sz w:val="23"/>
          <w:lang w:bidi="en-GB"/>
        </w:rPr>
        <w:t>);</w:t>
      </w:r>
    </w:p>
    <w:p w14:paraId="1AC78604" w14:textId="1D57D0E4" w:rsidR="00CB5F94" w:rsidRPr="003F0647" w:rsidRDefault="009804E1" w:rsidP="00A94F96">
      <w:pPr>
        <w:pStyle w:val="BodyText"/>
        <w:numPr>
          <w:ilvl w:val="0"/>
          <w:numId w:val="3"/>
        </w:numPr>
        <w:tabs>
          <w:tab w:val="left" w:pos="709"/>
        </w:tabs>
        <w:ind w:left="0" w:firstLine="426"/>
        <w:jc w:val="both"/>
        <w:rPr>
          <w:color w:val="auto"/>
          <w:sz w:val="23"/>
          <w:szCs w:val="23"/>
        </w:rPr>
      </w:pPr>
      <w:r w:rsidRPr="003F0647">
        <w:rPr>
          <w:color w:val="auto"/>
          <w:sz w:val="23"/>
          <w:lang w:bidi="en-GB"/>
        </w:rPr>
        <w:t>Description of the procedure for exercising the rights of data subjects in the State Enterprise Property Bank (</w:t>
      </w:r>
      <w:hyperlink r:id="rId9" w:history="1">
        <w:r w:rsidR="008620C8" w:rsidRPr="003F0647">
          <w:rPr>
            <w:rStyle w:val="Hyperlink"/>
            <w:color w:val="auto"/>
            <w:sz w:val="23"/>
            <w:lang w:bidi="en-GB"/>
          </w:rPr>
          <w:t>https://turtas.lt/wp-content/uploads/2022/03/duomenu-subjektu-teisiu-igyvendinimo-valstybes-imoneje-turto-banke-tvarkos-aprasas-20210907.pdf</w:t>
        </w:r>
      </w:hyperlink>
      <w:r w:rsidRPr="003F0647">
        <w:rPr>
          <w:color w:val="auto"/>
          <w:sz w:val="23"/>
          <w:lang w:bidi="en-GB"/>
        </w:rPr>
        <w:t xml:space="preserve">). </w:t>
      </w:r>
    </w:p>
    <w:p w14:paraId="33C4B013" w14:textId="680DC050" w:rsidR="002D5C98" w:rsidRPr="003F0647" w:rsidRDefault="00D873C6" w:rsidP="004C3405">
      <w:pPr>
        <w:pStyle w:val="BodyText"/>
        <w:tabs>
          <w:tab w:val="left" w:pos="738"/>
          <w:tab w:val="left" w:pos="10065"/>
        </w:tabs>
        <w:spacing w:after="360"/>
        <w:jc w:val="both"/>
        <w:rPr>
          <w:color w:val="auto"/>
          <w:sz w:val="23"/>
          <w:szCs w:val="23"/>
          <w:lang w:eastAsia="en-US" w:bidi="en-US"/>
        </w:rPr>
      </w:pPr>
      <w:r w:rsidRPr="003F0647">
        <w:rPr>
          <w:color w:val="auto"/>
          <w:sz w:val="23"/>
          <w:lang w:bidi="en-GB"/>
        </w:rPr>
        <w:t xml:space="preserve">Please be informed that if you disagree with the decision of the Property Bank adopted in relation to the request submitted by you concerning the exercise of your rights as a data subject, you have the right to lodge a complaint with the </w:t>
      </w:r>
      <w:r w:rsidRPr="003F0647">
        <w:rPr>
          <w:b/>
          <w:color w:val="auto"/>
          <w:sz w:val="23"/>
          <w:lang w:bidi="en-GB"/>
        </w:rPr>
        <w:t>State Data Protection Inspectorate</w:t>
      </w:r>
      <w:r w:rsidRPr="003F0647">
        <w:rPr>
          <w:color w:val="auto"/>
          <w:sz w:val="23"/>
          <w:lang w:bidi="en-GB"/>
        </w:rPr>
        <w:t xml:space="preserve">, the contact details of which can be found at </w:t>
      </w:r>
      <w:hyperlink r:id="rId10" w:history="1">
        <w:r w:rsidR="009C6A48" w:rsidRPr="003F0647">
          <w:rPr>
            <w:rStyle w:val="Hyperlink"/>
            <w:color w:val="auto"/>
            <w:sz w:val="23"/>
            <w:lang w:bidi="en-GB"/>
          </w:rPr>
          <w:t>https://vdai.lrv.lt</w:t>
        </w:r>
      </w:hyperlink>
      <w:r w:rsidRPr="003F0647">
        <w:rPr>
          <w:color w:val="auto"/>
          <w:sz w:val="23"/>
          <w:lang w:bidi="en-GB"/>
        </w:rPr>
        <w:t xml:space="preserve">. In all cases, please contact the Property Bank using the contact details above before filing a complaint, so that we </w:t>
      </w:r>
      <w:r w:rsidRPr="003F0647">
        <w:rPr>
          <w:color w:val="auto"/>
          <w:sz w:val="23"/>
          <w:lang w:bidi="en-GB"/>
        </w:rPr>
        <w:lastRenderedPageBreak/>
        <w:t>can work together to find the best solution for you.</w:t>
      </w:r>
    </w:p>
    <w:p w14:paraId="49D05F54" w14:textId="77777777" w:rsidR="009C6A48" w:rsidRPr="003F0647" w:rsidRDefault="009C6A48" w:rsidP="004C3405">
      <w:pPr>
        <w:pStyle w:val="BodyText"/>
        <w:tabs>
          <w:tab w:val="left" w:pos="738"/>
          <w:tab w:val="left" w:pos="10065"/>
        </w:tabs>
        <w:spacing w:after="360"/>
        <w:jc w:val="both"/>
        <w:rPr>
          <w:color w:val="auto"/>
          <w:sz w:val="23"/>
          <w:szCs w:val="23"/>
        </w:rPr>
      </w:pPr>
    </w:p>
    <w:sectPr w:rsidR="009C6A48" w:rsidRPr="003F0647">
      <w:footerReference w:type="default" r:id="rId11"/>
      <w:pgSz w:w="12240" w:h="15840"/>
      <w:pgMar w:top="1133" w:right="1014" w:bottom="2008" w:left="1093" w:header="705" w:footer="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2D396" w14:textId="77777777" w:rsidR="00951868" w:rsidRDefault="00951868">
      <w:r>
        <w:separator/>
      </w:r>
    </w:p>
  </w:endnote>
  <w:endnote w:type="continuationSeparator" w:id="0">
    <w:p w14:paraId="42B92434" w14:textId="77777777" w:rsidR="00951868" w:rsidRDefault="00951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4B016" w14:textId="77777777" w:rsidR="002D5C98" w:rsidRDefault="00D873C6">
    <w:pPr>
      <w:spacing w:line="1" w:lineRule="exact"/>
    </w:pPr>
    <w:r>
      <w:rPr>
        <w:noProof/>
        <w:lang w:bidi="en-GB"/>
      </w:rPr>
      <mc:AlternateContent>
        <mc:Choice Requires="wps">
          <w:drawing>
            <wp:anchor distT="0" distB="0" distL="0" distR="0" simplePos="0" relativeHeight="62914690" behindDoc="1" locked="0" layoutInCell="1" allowOverlap="1" wp14:anchorId="33C4B017" wp14:editId="33C4B018">
              <wp:simplePos x="0" y="0"/>
              <wp:positionH relativeFrom="page">
                <wp:posOffset>7052310</wp:posOffset>
              </wp:positionH>
              <wp:positionV relativeFrom="page">
                <wp:posOffset>9305290</wp:posOffset>
              </wp:positionV>
              <wp:extent cx="52070" cy="88265"/>
              <wp:effectExtent l="0" t="0" r="0" b="0"/>
              <wp:wrapNone/>
              <wp:docPr id="1" name="Shape 1"/>
              <wp:cNvGraphicFramePr/>
              <a:graphic xmlns:a="http://schemas.openxmlformats.org/drawingml/2006/main">
                <a:graphicData uri="http://schemas.microsoft.com/office/word/2010/wordprocessingShape">
                  <wps:wsp>
                    <wps:cNvSpPr txBox="1"/>
                    <wps:spPr>
                      <a:xfrm>
                        <a:off x="0" y="0"/>
                        <a:ext cx="52070" cy="88265"/>
                      </a:xfrm>
                      <a:prstGeom prst="rect">
                        <a:avLst/>
                      </a:prstGeom>
                      <a:noFill/>
                    </wps:spPr>
                    <wps:txbx>
                      <w:txbxContent>
                        <w:p w14:paraId="33C4B019" w14:textId="77777777" w:rsidR="002D5C98" w:rsidRDefault="00D873C6">
                          <w:pPr>
                            <w:pStyle w:val="Headerorfooter20"/>
                            <w:rPr>
                              <w:sz w:val="22"/>
                              <w:szCs w:val="22"/>
                            </w:rPr>
                          </w:pPr>
                          <w:r>
                            <w:rPr>
                              <w:lang w:bidi="en-GB"/>
                            </w:rPr>
                            <w:fldChar w:fldCharType="begin"/>
                          </w:r>
                          <w:r>
                            <w:rPr>
                              <w:lang w:bidi="en-GB"/>
                            </w:rPr>
                            <w:instrText xml:space="preserve"> PAGE \* MERGEFORMAT </w:instrText>
                          </w:r>
                          <w:r>
                            <w:rPr>
                              <w:lang w:bidi="en-GB"/>
                            </w:rPr>
                            <w:fldChar w:fldCharType="separate"/>
                          </w:r>
                          <w:r>
                            <w:rPr>
                              <w:sz w:val="22"/>
                              <w:lang w:bidi="en-GB"/>
                            </w:rPr>
                            <w:t>#</w:t>
                          </w:r>
                          <w:r>
                            <w:rPr>
                              <w:sz w:val="22"/>
                              <w:lang w:bidi="en-GB"/>
                            </w:rPr>
                            <w:fldChar w:fldCharType="end"/>
                          </w:r>
                        </w:p>
                      </w:txbxContent>
                    </wps:txbx>
                    <wps:bodyPr wrap="none" lIns="0" tIns="0" rIns="0" bIns="0">
                      <a:spAutoFit/>
                    </wps:bodyPr>
                  </wps:wsp>
                </a:graphicData>
              </a:graphic>
            </wp:anchor>
          </w:drawing>
        </mc:Choice>
        <mc:Fallback>
          <w:pict>
            <v:shapetype w14:anchorId="33C4B017" id="_x0000_t202" coordsize="21600,21600" o:spt="202" path="m,l,21600r21600,l21600,xe">
              <v:stroke joinstyle="miter"/>
              <v:path gradientshapeok="t" o:connecttype="rect"/>
            </v:shapetype>
            <v:shape id="Shape 1" o:spid="_x0000_s1026" type="#_x0000_t202" style="position:absolute;margin-left:555.3pt;margin-top:732.7pt;width:4.1pt;height:6.9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" filled="f" stroked="f">
              <v:textbox style="mso-fit-shape-to-text:t" inset="0,0,0,0">
                <w:txbxContent>
                  <w:p w14:paraId="33C4B019" w14:textId="77777777" w:rsidR="002D5C98" w:rsidRDefault="00D873C6">
                    <w:pPr>
                      <w:pStyle w:val="Headerorfooter20"/>
                      <w:rPr>
                        <w:sz w:val="22"/>
                        <w:szCs w:val="22"/>
                      </w:rPr>
                    </w:pPr>
                    <w:r>
                      <w:rPr>
                        <w:lang w:bidi="en-GB"/>
                      </w:rPr>
                      <w:fldChar w:fldCharType="begin"/>
                    </w:r>
                    <w:r>
                      <w:rPr>
                        <w:lang w:bidi="en-GB"/>
                      </w:rPr>
                      <w:instrText xml:space="preserve"> PAGE \* MERGEFORMAT </w:instrText>
                    </w:r>
                    <w:r>
                      <w:rPr>
                        <w:lang w:bidi="en-GB"/>
                      </w:rPr>
                      <w:fldChar w:fldCharType="separate"/>
                    </w:r>
                    <w:r>
                      <w:rPr>
                        <w:sz w:val="22"/>
                        <w:lang w:bidi="en-GB"/>
                      </w:rPr>
                      <w:t>#</w:t>
                    </w:r>
                    <w:r>
                      <w:rPr>
                        <w:sz w:val="22"/>
                        <w:lang w:bidi="en-GB"/>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8A995" w14:textId="77777777" w:rsidR="00951868" w:rsidRDefault="00951868"/>
  </w:footnote>
  <w:footnote w:type="continuationSeparator" w:id="0">
    <w:p w14:paraId="4D630E36" w14:textId="77777777" w:rsidR="00951868" w:rsidRDefault="0095186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B51A7"/>
    <w:multiLevelType w:val="hybridMultilevel"/>
    <w:tmpl w:val="4866DE0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B9C6EDD"/>
    <w:multiLevelType w:val="multilevel"/>
    <w:tmpl w:val="C40A43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30C0B45"/>
    <w:multiLevelType w:val="multilevel"/>
    <w:tmpl w:val="05B8C3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53173295">
    <w:abstractNumId w:val="1"/>
  </w:num>
  <w:num w:numId="2" w16cid:durableId="405499705">
    <w:abstractNumId w:val="2"/>
  </w:num>
  <w:num w:numId="3" w16cid:durableId="1038122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C98"/>
    <w:rsid w:val="00073609"/>
    <w:rsid w:val="001324FD"/>
    <w:rsid w:val="00291EA4"/>
    <w:rsid w:val="002B0519"/>
    <w:rsid w:val="002D5C98"/>
    <w:rsid w:val="0033670B"/>
    <w:rsid w:val="003E5EA5"/>
    <w:rsid w:val="003F0647"/>
    <w:rsid w:val="004540EF"/>
    <w:rsid w:val="004C3405"/>
    <w:rsid w:val="004D0356"/>
    <w:rsid w:val="00505DC2"/>
    <w:rsid w:val="00666472"/>
    <w:rsid w:val="006804A6"/>
    <w:rsid w:val="00754F6C"/>
    <w:rsid w:val="0077347A"/>
    <w:rsid w:val="00780E55"/>
    <w:rsid w:val="00796657"/>
    <w:rsid w:val="008620C8"/>
    <w:rsid w:val="00917B29"/>
    <w:rsid w:val="00951868"/>
    <w:rsid w:val="00954404"/>
    <w:rsid w:val="009804E1"/>
    <w:rsid w:val="00993F97"/>
    <w:rsid w:val="009C6A48"/>
    <w:rsid w:val="009C7175"/>
    <w:rsid w:val="009D58CD"/>
    <w:rsid w:val="00A33398"/>
    <w:rsid w:val="00A94F96"/>
    <w:rsid w:val="00AF3CAC"/>
    <w:rsid w:val="00CB5F94"/>
    <w:rsid w:val="00CF0147"/>
    <w:rsid w:val="00D873C6"/>
    <w:rsid w:val="00DA5F15"/>
    <w:rsid w:val="00E378BD"/>
    <w:rsid w:val="00E72A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4AFE7"/>
  <w15:docId w15:val="{9A82F732-4531-4966-957B-407E13D8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GB" w:eastAsia="lt-LT" w:bidi="lt-LT"/>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32"/>
      <w:szCs w:val="32"/>
      <w:u w:val="none"/>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rPr>
  </w:style>
  <w:style w:type="character" w:customStyle="1" w:styleId="Heading2">
    <w:name w:val="Heading #2_"/>
    <w:basedOn w:val="DefaultParagraphFont"/>
    <w:link w:val="Heading20"/>
    <w:rPr>
      <w:rFonts w:ascii="Times New Roman" w:eastAsia="Times New Roman" w:hAnsi="Times New Roman" w:cs="Times New Roman"/>
      <w:b/>
      <w:bCs/>
      <w:i/>
      <w:iCs/>
      <w:smallCaps w:val="0"/>
      <w:strike w:val="0"/>
      <w:color w:val="002060"/>
      <w:sz w:val="28"/>
      <w:szCs w:val="28"/>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rPr>
  </w:style>
  <w:style w:type="paragraph" w:customStyle="1" w:styleId="Heading10">
    <w:name w:val="Heading #1"/>
    <w:basedOn w:val="Normal"/>
    <w:link w:val="Heading1"/>
    <w:pPr>
      <w:spacing w:after="260"/>
      <w:jc w:val="center"/>
      <w:outlineLvl w:val="0"/>
    </w:pPr>
    <w:rPr>
      <w:rFonts w:ascii="Times New Roman" w:eastAsia="Times New Roman" w:hAnsi="Times New Roman" w:cs="Times New Roman"/>
      <w:b/>
      <w:bCs/>
      <w:sz w:val="32"/>
      <w:szCs w:val="32"/>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styleId="BodyText">
    <w:name w:val="Body Text"/>
    <w:basedOn w:val="Normal"/>
    <w:link w:val="BodyTextChar"/>
    <w:qFormat/>
    <w:pPr>
      <w:spacing w:after="320"/>
    </w:pPr>
    <w:rPr>
      <w:rFonts w:ascii="Times New Roman" w:eastAsia="Times New Roman" w:hAnsi="Times New Roman" w:cs="Times New Roman"/>
    </w:rPr>
  </w:style>
  <w:style w:type="paragraph" w:customStyle="1" w:styleId="Heading20">
    <w:name w:val="Heading #2"/>
    <w:basedOn w:val="Normal"/>
    <w:link w:val="Heading2"/>
    <w:pPr>
      <w:spacing w:after="260"/>
      <w:outlineLvl w:val="1"/>
    </w:pPr>
    <w:rPr>
      <w:rFonts w:ascii="Times New Roman" w:eastAsia="Times New Roman" w:hAnsi="Times New Roman" w:cs="Times New Roman"/>
      <w:b/>
      <w:bCs/>
      <w:i/>
      <w:iCs/>
      <w:color w:val="002060"/>
      <w:sz w:val="28"/>
      <w:szCs w:val="28"/>
    </w:rPr>
  </w:style>
  <w:style w:type="paragraph" w:customStyle="1" w:styleId="Other0">
    <w:name w:val="Other"/>
    <w:basedOn w:val="Normal"/>
    <w:link w:val="Other"/>
    <w:pPr>
      <w:spacing w:after="320"/>
    </w:pPr>
    <w:rPr>
      <w:rFonts w:ascii="Times New Roman" w:eastAsia="Times New Roman" w:hAnsi="Times New Roman" w:cs="Times New Roman"/>
    </w:rPr>
  </w:style>
  <w:style w:type="character" w:styleId="Hyperlink">
    <w:name w:val="Hyperlink"/>
    <w:basedOn w:val="DefaultParagraphFont"/>
    <w:uiPriority w:val="99"/>
    <w:unhideWhenUsed/>
    <w:rsid w:val="009804E1"/>
    <w:rPr>
      <w:color w:val="0563C1" w:themeColor="hyperlink"/>
      <w:u w:val="single"/>
    </w:rPr>
  </w:style>
  <w:style w:type="character" w:styleId="UnresolvedMention">
    <w:name w:val="Unresolved Mention"/>
    <w:basedOn w:val="DefaultParagraphFont"/>
    <w:uiPriority w:val="99"/>
    <w:semiHidden/>
    <w:unhideWhenUsed/>
    <w:rsid w:val="009804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urtas.lt/wp-content/uploads/2022/03/valstybes-imones-turto-banko-asmens-duomenu-tvarkymo-taisykles-1.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p@ada.l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vdai.lrv.lt" TargetMode="External"/><Relationship Id="rId4" Type="http://schemas.openxmlformats.org/officeDocument/2006/relationships/webSettings" Target="webSettings.xml"/><Relationship Id="rId9" Type="http://schemas.openxmlformats.org/officeDocument/2006/relationships/hyperlink" Target="https://turtas.lt/wp-content/uploads/2022/03/duomenu-subjektu-teisiu-igyvendinimo-valstybes-imoneje-turto-banke-tvarkos-aprasas-20210907.pdf"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758</Words>
  <Characters>4323</Characters>
  <Application>Microsoft Office Word</Application>
  <DocSecurity>0</DocSecurity>
  <Lines>36</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Valčiukė</dc:creator>
  <cp:keywords/>
  <cp:lastModifiedBy>Anton | Skrivanek Lietuva</cp:lastModifiedBy>
  <cp:revision>3</cp:revision>
  <dcterms:created xsi:type="dcterms:W3CDTF">2023-10-19T12:30:00Z</dcterms:created>
  <dcterms:modified xsi:type="dcterms:W3CDTF">2023-10-19T12:33:00Z</dcterms:modified>
</cp:coreProperties>
</file>