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5DFBC" w14:textId="3610E925" w:rsidR="00CC1908" w:rsidRPr="00BE3BF8" w:rsidRDefault="00C14489" w:rsidP="00B6420D">
      <w:pPr>
        <w:spacing w:after="0"/>
        <w:ind w:firstLine="720"/>
        <w:jc w:val="both"/>
        <w:rPr>
          <w:rFonts w:ascii="Times New Roman" w:hAnsi="Times New Roman" w:cs="Times New Roman"/>
          <w:sz w:val="24"/>
          <w:szCs w:val="24"/>
          <w:lang w:eastAsia="lt-LT"/>
        </w:rPr>
      </w:pPr>
      <w:r>
        <w:rPr>
          <w:rFonts w:ascii="Times New Roman" w:eastAsia="Times New Roman" w:hAnsi="Times New Roman" w:cs="Times New Roman"/>
          <w:kern w:val="0"/>
          <w:sz w:val="24"/>
          <w:szCs w:val="24"/>
          <w:lang w:eastAsia="lt-LT"/>
          <w14:ligatures w14:val="none"/>
        </w:rPr>
        <w:t>Turto banko g</w:t>
      </w:r>
      <w:r w:rsidR="00166622" w:rsidRPr="00BE3BF8">
        <w:rPr>
          <w:rFonts w:ascii="Times New Roman" w:eastAsia="Times New Roman" w:hAnsi="Times New Roman" w:cs="Times New Roman"/>
          <w:kern w:val="0"/>
          <w:sz w:val="24"/>
          <w:szCs w:val="24"/>
          <w:lang w:eastAsia="lt-LT"/>
          <w14:ligatures w14:val="none"/>
        </w:rPr>
        <w:t>eneralinio direktoriaus atlygis nustatomas vadovaujantis Lietuvos Respublikos Vyriausybės 2002 m. rugpjūčio 23 d. nutarimu Nr. 1341 „Dėl valstybės valdomų įmonių vadovų darbo užmokesčio“</w:t>
      </w:r>
      <w:r>
        <w:rPr>
          <w:rFonts w:ascii="Times New Roman" w:eastAsia="Times New Roman" w:hAnsi="Times New Roman" w:cs="Times New Roman"/>
          <w:kern w:val="0"/>
          <w:sz w:val="24"/>
          <w:szCs w:val="24"/>
          <w:lang w:eastAsia="lt-LT"/>
          <w14:ligatures w14:val="none"/>
        </w:rPr>
        <w:t xml:space="preserve"> (su vėlesniais papildymais ir pakeitimais)</w:t>
      </w:r>
      <w:r w:rsidR="00EB78D0" w:rsidRPr="00BE3BF8">
        <w:rPr>
          <w:rFonts w:ascii="Times New Roman" w:eastAsia="Times New Roman" w:hAnsi="Times New Roman" w:cs="Times New Roman"/>
          <w:kern w:val="0"/>
          <w:sz w:val="24"/>
          <w:szCs w:val="24"/>
          <w:lang w:eastAsia="lt-LT"/>
          <w14:ligatures w14:val="none"/>
        </w:rPr>
        <w:t xml:space="preserve">. Generalinio direktoriaus </w:t>
      </w:r>
      <w:r w:rsidR="00CC1908" w:rsidRPr="00CC1908">
        <w:rPr>
          <w:rFonts w:ascii="Times New Roman" w:eastAsia="Times New Roman" w:hAnsi="Times New Roman" w:cs="Times New Roman"/>
          <w:kern w:val="0"/>
          <w:sz w:val="24"/>
          <w:szCs w:val="24"/>
          <w:lang w:eastAsia="lt-LT"/>
          <w14:ligatures w14:val="none"/>
        </w:rPr>
        <w:t xml:space="preserve">darbo užmokestį sudaro pareiginė alga, kintamoji dalis ir </w:t>
      </w:r>
      <w:r w:rsidR="00CC1908" w:rsidRPr="00031F9E">
        <w:rPr>
          <w:rFonts w:ascii="Times New Roman" w:eastAsia="Times New Roman" w:hAnsi="Times New Roman" w:cs="Times New Roman"/>
          <w:kern w:val="0"/>
          <w:sz w:val="24"/>
          <w:szCs w:val="24"/>
          <w:lang w:eastAsia="lt-LT"/>
          <w14:ligatures w14:val="none"/>
        </w:rPr>
        <w:t>premija</w:t>
      </w:r>
      <w:r w:rsidR="00CC1908" w:rsidRPr="00F50554">
        <w:rPr>
          <w:rFonts w:ascii="Times New Roman" w:eastAsia="Times New Roman" w:hAnsi="Times New Roman" w:cs="Times New Roman"/>
          <w:kern w:val="0"/>
          <w:sz w:val="24"/>
          <w:szCs w:val="24"/>
          <w:lang w:eastAsia="lt-LT"/>
          <w14:ligatures w14:val="none"/>
        </w:rPr>
        <w:t>.</w:t>
      </w:r>
      <w:r w:rsidR="00CC1908">
        <w:rPr>
          <w:color w:val="000000"/>
        </w:rPr>
        <w:t xml:space="preserve"> </w:t>
      </w:r>
    </w:p>
    <w:p w14:paraId="61598924" w14:textId="030E9A94" w:rsidR="00166622" w:rsidRPr="00CC1908" w:rsidRDefault="00CC1908" w:rsidP="0000610F">
      <w:pPr>
        <w:spacing w:after="0"/>
        <w:ind w:firstLine="720"/>
        <w:jc w:val="both"/>
        <w:rPr>
          <w:rFonts w:ascii="Times New Roman" w:hAnsi="Times New Roman" w:cs="Times New Roman"/>
          <w:sz w:val="24"/>
          <w:szCs w:val="24"/>
          <w:lang w:val="en-US" w:eastAsia="lt-LT"/>
        </w:rPr>
      </w:pPr>
      <w:r w:rsidRPr="66FFFB86">
        <w:rPr>
          <w:rFonts w:ascii="Times New Roman" w:hAnsi="Times New Roman" w:cs="Times New Roman"/>
          <w:sz w:val="24"/>
          <w:szCs w:val="24"/>
          <w:lang w:eastAsia="lt-LT"/>
        </w:rPr>
        <w:t>Pareiginė</w:t>
      </w:r>
      <w:r w:rsidR="0086593A">
        <w:rPr>
          <w:rFonts w:ascii="Times New Roman" w:hAnsi="Times New Roman" w:cs="Times New Roman"/>
          <w:sz w:val="24"/>
          <w:szCs w:val="24"/>
          <w:lang w:eastAsia="lt-LT"/>
        </w:rPr>
        <w:t>s</w:t>
      </w:r>
      <w:r w:rsidRPr="66FFFB86">
        <w:rPr>
          <w:rFonts w:ascii="Times New Roman" w:hAnsi="Times New Roman" w:cs="Times New Roman"/>
          <w:sz w:val="24"/>
          <w:szCs w:val="24"/>
          <w:lang w:eastAsia="lt-LT"/>
        </w:rPr>
        <w:t xml:space="preserve"> alg</w:t>
      </w:r>
      <w:r w:rsidR="3ABF178B" w:rsidRPr="66FFFB86">
        <w:rPr>
          <w:rFonts w:ascii="Times New Roman" w:hAnsi="Times New Roman" w:cs="Times New Roman"/>
          <w:sz w:val="24"/>
          <w:szCs w:val="24"/>
          <w:lang w:eastAsia="lt-LT"/>
        </w:rPr>
        <w:t>os rėžis</w:t>
      </w:r>
      <w:r w:rsidR="00EB78D0" w:rsidRPr="66FFFB86">
        <w:rPr>
          <w:rFonts w:ascii="Times New Roman" w:hAnsi="Times New Roman" w:cs="Times New Roman"/>
          <w:sz w:val="24"/>
          <w:szCs w:val="24"/>
          <w:lang w:eastAsia="lt-LT"/>
        </w:rPr>
        <w:t xml:space="preserve"> nustatoma</w:t>
      </w:r>
      <w:r w:rsidR="6B901EE1" w:rsidRPr="66FFFB86">
        <w:rPr>
          <w:rFonts w:ascii="Times New Roman" w:hAnsi="Times New Roman" w:cs="Times New Roman"/>
          <w:sz w:val="24"/>
          <w:szCs w:val="24"/>
          <w:lang w:eastAsia="lt-LT"/>
        </w:rPr>
        <w:t>s</w:t>
      </w:r>
      <w:r w:rsidR="00EB78D0" w:rsidRPr="66FFFB86">
        <w:rPr>
          <w:rFonts w:ascii="Times New Roman" w:hAnsi="Times New Roman" w:cs="Times New Roman"/>
          <w:sz w:val="24"/>
          <w:szCs w:val="24"/>
          <w:lang w:eastAsia="lt-LT"/>
        </w:rPr>
        <w:t xml:space="preserve"> koeficientu </w:t>
      </w:r>
      <w:r w:rsidR="00232CF0" w:rsidRPr="66FFFB86">
        <w:rPr>
          <w:rFonts w:ascii="Times New Roman" w:hAnsi="Times New Roman" w:cs="Times New Roman"/>
          <w:sz w:val="24"/>
          <w:szCs w:val="24"/>
          <w:lang w:eastAsia="lt-LT"/>
        </w:rPr>
        <w:t xml:space="preserve">(atsižvelgiant į valstybės įmonės kategoriją), </w:t>
      </w:r>
      <w:r w:rsidRPr="66FFFB86">
        <w:rPr>
          <w:rFonts w:ascii="Times New Roman" w:hAnsi="Times New Roman" w:cs="Times New Roman"/>
          <w:sz w:val="24"/>
          <w:szCs w:val="24"/>
          <w:lang w:eastAsia="lt-LT"/>
        </w:rPr>
        <w:t>kuri</w:t>
      </w:r>
      <w:r w:rsidR="00232CF0" w:rsidRPr="66FFFB86">
        <w:rPr>
          <w:rFonts w:ascii="Times New Roman" w:hAnsi="Times New Roman" w:cs="Times New Roman"/>
          <w:sz w:val="24"/>
          <w:szCs w:val="24"/>
          <w:lang w:eastAsia="lt-LT"/>
        </w:rPr>
        <w:t>s dauginamas</w:t>
      </w:r>
      <w:r w:rsidRPr="66FFFB86">
        <w:rPr>
          <w:rFonts w:ascii="Times New Roman" w:hAnsi="Times New Roman" w:cs="Times New Roman"/>
          <w:sz w:val="24"/>
          <w:szCs w:val="24"/>
          <w:lang w:eastAsia="lt-LT"/>
        </w:rPr>
        <w:t xml:space="preserve"> </w:t>
      </w:r>
      <w:r w:rsidR="00232CF0" w:rsidRPr="66FFFB86">
        <w:rPr>
          <w:rFonts w:ascii="Times New Roman" w:hAnsi="Times New Roman" w:cs="Times New Roman"/>
          <w:sz w:val="24"/>
          <w:szCs w:val="24"/>
          <w:lang w:eastAsia="lt-LT"/>
        </w:rPr>
        <w:t xml:space="preserve">iš </w:t>
      </w:r>
      <w:r w:rsidRPr="66FFFB86">
        <w:rPr>
          <w:rFonts w:ascii="Times New Roman" w:hAnsi="Times New Roman" w:cs="Times New Roman"/>
          <w:sz w:val="24"/>
          <w:szCs w:val="24"/>
          <w:lang w:eastAsia="lt-LT"/>
        </w:rPr>
        <w:t>pareiginės algos (atlyginimo) bazinio dydžio</w:t>
      </w:r>
      <w:r w:rsidR="00274A02" w:rsidRPr="66FFFB86">
        <w:rPr>
          <w:rFonts w:ascii="Times New Roman" w:hAnsi="Times New Roman" w:cs="Times New Roman"/>
          <w:sz w:val="24"/>
          <w:szCs w:val="24"/>
          <w:lang w:eastAsia="lt-LT"/>
        </w:rPr>
        <w:t xml:space="preserve">, nustatyto Lietuvos Respublikos pareiginės algos (atlyginimo) bazinio dydžio </w:t>
      </w:r>
      <w:r w:rsidRPr="66FFFB86">
        <w:rPr>
          <w:rFonts w:ascii="Times New Roman" w:hAnsi="Times New Roman" w:cs="Times New Roman"/>
          <w:sz w:val="24"/>
          <w:szCs w:val="24"/>
          <w:lang w:eastAsia="lt-LT"/>
        </w:rPr>
        <w:t>nustatymo ir asignavimų darbo užmokesčiui perskaičiavimo įstatyme</w:t>
      </w:r>
      <w:r w:rsidR="00232CF0" w:rsidRPr="66FFFB86">
        <w:rPr>
          <w:rFonts w:ascii="Times New Roman" w:hAnsi="Times New Roman" w:cs="Times New Roman"/>
          <w:sz w:val="24"/>
          <w:szCs w:val="24"/>
          <w:lang w:eastAsia="lt-LT"/>
        </w:rPr>
        <w:t>.</w:t>
      </w:r>
      <w:r w:rsidR="6DADD939" w:rsidRPr="66FFFB86">
        <w:rPr>
          <w:rFonts w:ascii="Times New Roman" w:hAnsi="Times New Roman" w:cs="Times New Roman"/>
          <w:sz w:val="24"/>
          <w:szCs w:val="24"/>
          <w:lang w:eastAsia="lt-LT"/>
        </w:rPr>
        <w:t xml:space="preserve"> Konkretų </w:t>
      </w:r>
      <w:r w:rsidR="00D62AF5">
        <w:rPr>
          <w:rFonts w:ascii="Times New Roman" w:hAnsi="Times New Roman" w:cs="Times New Roman"/>
          <w:sz w:val="24"/>
          <w:szCs w:val="24"/>
          <w:lang w:eastAsia="lt-LT"/>
        </w:rPr>
        <w:t xml:space="preserve">pareiginės algos </w:t>
      </w:r>
      <w:r w:rsidR="6DADD939" w:rsidRPr="66FFFB86">
        <w:rPr>
          <w:rFonts w:ascii="Times New Roman" w:hAnsi="Times New Roman" w:cs="Times New Roman"/>
          <w:sz w:val="24"/>
          <w:szCs w:val="24"/>
          <w:lang w:eastAsia="lt-LT"/>
        </w:rPr>
        <w:t xml:space="preserve">dydį nustato </w:t>
      </w:r>
      <w:r w:rsidR="00993A50" w:rsidRPr="66FFFB86">
        <w:rPr>
          <w:rFonts w:ascii="Times New Roman" w:hAnsi="Times New Roman" w:cs="Times New Roman"/>
          <w:sz w:val="24"/>
          <w:szCs w:val="24"/>
          <w:lang w:eastAsia="lt-LT"/>
        </w:rPr>
        <w:t>savininko teises ir pareigas įgyvendinan</w:t>
      </w:r>
      <w:r w:rsidR="00993A50">
        <w:rPr>
          <w:rFonts w:ascii="Times New Roman" w:hAnsi="Times New Roman" w:cs="Times New Roman"/>
          <w:sz w:val="24"/>
          <w:szCs w:val="24"/>
          <w:lang w:eastAsia="lt-LT"/>
        </w:rPr>
        <w:t>ti</w:t>
      </w:r>
      <w:r w:rsidR="00993A50" w:rsidRPr="66FFFB86">
        <w:rPr>
          <w:rFonts w:ascii="Times New Roman" w:hAnsi="Times New Roman" w:cs="Times New Roman"/>
          <w:sz w:val="24"/>
          <w:szCs w:val="24"/>
          <w:lang w:eastAsia="lt-LT"/>
        </w:rPr>
        <w:t xml:space="preserve"> institucij</w:t>
      </w:r>
      <w:r w:rsidR="00993A50">
        <w:rPr>
          <w:rFonts w:ascii="Times New Roman" w:hAnsi="Times New Roman" w:cs="Times New Roman"/>
          <w:sz w:val="24"/>
          <w:szCs w:val="24"/>
          <w:lang w:eastAsia="lt-LT"/>
        </w:rPr>
        <w:t xml:space="preserve">a - </w:t>
      </w:r>
      <w:r w:rsidR="008A6689">
        <w:rPr>
          <w:rFonts w:ascii="Times New Roman" w:hAnsi="Times New Roman" w:cs="Times New Roman"/>
          <w:sz w:val="24"/>
          <w:szCs w:val="24"/>
          <w:lang w:eastAsia="lt-LT"/>
        </w:rPr>
        <w:t>LR finansų ministerija</w:t>
      </w:r>
      <w:r w:rsidR="6DADD939" w:rsidRPr="66FFFB86">
        <w:rPr>
          <w:rFonts w:ascii="Times New Roman" w:hAnsi="Times New Roman" w:cs="Times New Roman"/>
          <w:sz w:val="24"/>
          <w:szCs w:val="24"/>
          <w:lang w:eastAsia="lt-LT"/>
        </w:rPr>
        <w:t>.</w:t>
      </w:r>
    </w:p>
    <w:p w14:paraId="4B7FB228" w14:textId="2A4CF4C7" w:rsidR="000D09FD" w:rsidRPr="000D09FD" w:rsidRDefault="00EB78D0" w:rsidP="00A1432F">
      <w:pPr>
        <w:spacing w:after="0"/>
        <w:ind w:firstLine="720"/>
        <w:jc w:val="both"/>
        <w:rPr>
          <w:rFonts w:ascii="Times New Roman" w:hAnsi="Times New Roman" w:cs="Times New Roman"/>
          <w:sz w:val="24"/>
          <w:szCs w:val="24"/>
          <w:lang w:eastAsia="lt-LT"/>
        </w:rPr>
      </w:pPr>
      <w:r w:rsidRPr="66FFFB86">
        <w:rPr>
          <w:rFonts w:ascii="Times New Roman" w:hAnsi="Times New Roman" w:cs="Times New Roman"/>
          <w:sz w:val="24"/>
          <w:szCs w:val="24"/>
          <w:lang w:eastAsia="lt-LT"/>
        </w:rPr>
        <w:t xml:space="preserve">Kintamoji dalis priklauso nuo </w:t>
      </w:r>
      <w:r w:rsidR="00C14489" w:rsidRPr="66FFFB86">
        <w:rPr>
          <w:rFonts w:ascii="Times New Roman" w:hAnsi="Times New Roman" w:cs="Times New Roman"/>
          <w:sz w:val="24"/>
          <w:szCs w:val="24"/>
          <w:lang w:eastAsia="lt-LT"/>
        </w:rPr>
        <w:t>Turto banko</w:t>
      </w:r>
      <w:r w:rsidRPr="66FFFB86">
        <w:rPr>
          <w:rFonts w:ascii="Times New Roman" w:hAnsi="Times New Roman" w:cs="Times New Roman"/>
          <w:sz w:val="24"/>
          <w:szCs w:val="24"/>
          <w:lang w:eastAsia="lt-LT"/>
        </w:rPr>
        <w:t xml:space="preserve"> </w:t>
      </w:r>
      <w:r w:rsidR="0093389C" w:rsidRPr="66FFFB86">
        <w:rPr>
          <w:rFonts w:ascii="Times New Roman" w:hAnsi="Times New Roman" w:cs="Times New Roman"/>
          <w:sz w:val="24"/>
          <w:szCs w:val="24"/>
          <w:lang w:eastAsia="lt-LT"/>
        </w:rPr>
        <w:t xml:space="preserve">pasiektų </w:t>
      </w:r>
      <w:r w:rsidR="009B6D3D" w:rsidRPr="66FFFB86">
        <w:rPr>
          <w:rFonts w:ascii="Times New Roman" w:hAnsi="Times New Roman" w:cs="Times New Roman"/>
          <w:sz w:val="24"/>
          <w:szCs w:val="24"/>
          <w:lang w:eastAsia="lt-LT"/>
        </w:rPr>
        <w:t>veiklos rodiklių</w:t>
      </w:r>
      <w:r w:rsidRPr="66FFFB86">
        <w:rPr>
          <w:rFonts w:ascii="Times New Roman" w:hAnsi="Times New Roman" w:cs="Times New Roman"/>
          <w:sz w:val="24"/>
          <w:szCs w:val="24"/>
          <w:lang w:eastAsia="lt-LT"/>
        </w:rPr>
        <w:t>, nustatytų LR finansų ministerijos</w:t>
      </w:r>
      <w:r w:rsidR="0093389C" w:rsidRPr="66FFFB86">
        <w:rPr>
          <w:rFonts w:ascii="Times New Roman" w:hAnsi="Times New Roman" w:cs="Times New Roman"/>
          <w:sz w:val="24"/>
          <w:szCs w:val="24"/>
          <w:lang w:eastAsia="lt-LT"/>
        </w:rPr>
        <w:t xml:space="preserve">, ir nustatoma </w:t>
      </w:r>
      <w:r w:rsidR="00B70863">
        <w:rPr>
          <w:rFonts w:ascii="Times New Roman" w:hAnsi="Times New Roman" w:cs="Times New Roman"/>
          <w:sz w:val="24"/>
          <w:szCs w:val="24"/>
          <w:lang w:eastAsia="lt-LT"/>
        </w:rPr>
        <w:t>pasibaigus</w:t>
      </w:r>
      <w:r w:rsidR="00B70863" w:rsidRPr="66FFFB86">
        <w:rPr>
          <w:rFonts w:ascii="Times New Roman" w:hAnsi="Times New Roman" w:cs="Times New Roman"/>
          <w:sz w:val="24"/>
          <w:szCs w:val="24"/>
          <w:lang w:eastAsia="lt-LT"/>
        </w:rPr>
        <w:t xml:space="preserve"> </w:t>
      </w:r>
      <w:r w:rsidR="0093389C" w:rsidRPr="66FFFB86">
        <w:rPr>
          <w:rFonts w:ascii="Times New Roman" w:hAnsi="Times New Roman" w:cs="Times New Roman"/>
          <w:sz w:val="24"/>
          <w:szCs w:val="24"/>
          <w:lang w:eastAsia="lt-LT"/>
        </w:rPr>
        <w:t>finansiniams metams</w:t>
      </w:r>
      <w:r w:rsidR="00A02315">
        <w:rPr>
          <w:rFonts w:ascii="Times New Roman" w:hAnsi="Times New Roman" w:cs="Times New Roman"/>
          <w:sz w:val="24"/>
          <w:szCs w:val="24"/>
          <w:lang w:eastAsia="lt-LT"/>
        </w:rPr>
        <w:t xml:space="preserve"> ir patvirtinus finansinių ataskaitų rinkinius</w:t>
      </w:r>
      <w:r w:rsidR="0093389C" w:rsidRPr="66FFFB86">
        <w:rPr>
          <w:rFonts w:ascii="Times New Roman" w:hAnsi="Times New Roman" w:cs="Times New Roman"/>
          <w:sz w:val="24"/>
          <w:szCs w:val="24"/>
          <w:lang w:eastAsia="lt-LT"/>
        </w:rPr>
        <w:t xml:space="preserve"> atsižvelgiant į praėjusiais finansiniais metais pasiektus konkrečius įmonės veiklos rezultatus.</w:t>
      </w:r>
      <w:r w:rsidR="00A1432F">
        <w:rPr>
          <w:rFonts w:ascii="Times New Roman" w:hAnsi="Times New Roman" w:cs="Times New Roman"/>
          <w:sz w:val="24"/>
          <w:szCs w:val="24"/>
          <w:lang w:eastAsia="lt-LT"/>
        </w:rPr>
        <w:t xml:space="preserve"> </w:t>
      </w:r>
      <w:r w:rsidR="000D09FD" w:rsidRPr="000D09FD">
        <w:rPr>
          <w:rFonts w:ascii="Times New Roman" w:eastAsia="Times New Roman" w:hAnsi="Times New Roman" w:cs="Times New Roman"/>
          <w:kern w:val="0"/>
          <w:sz w:val="24"/>
          <w:szCs w:val="24"/>
          <w:lang w:eastAsia="lt-LT"/>
          <w14:ligatures w14:val="none"/>
        </w:rPr>
        <w:t>Kintamoji dalis išmokama vieną kartą pasibaigus finansiniams metams ir patvirtinus finansinių ataskaitų rinkinius, atsižvelgus į praėjusių finansinių metų veiklos rodiklių įvykdymą. Kintamoji dalis negali viršyti 30 procentų valstybės įmonės vadovui praėjusiais finansiniais metais išmokėtos pareiginės algos</w:t>
      </w:r>
      <w:r w:rsidR="00A1432F">
        <w:rPr>
          <w:rFonts w:ascii="Times New Roman" w:eastAsia="Times New Roman" w:hAnsi="Times New Roman" w:cs="Times New Roman"/>
          <w:kern w:val="0"/>
          <w:sz w:val="24"/>
          <w:szCs w:val="24"/>
          <w:lang w:eastAsia="lt-LT"/>
          <w14:ligatures w14:val="none"/>
        </w:rPr>
        <w:t>.</w:t>
      </w:r>
    </w:p>
    <w:p w14:paraId="395662EE" w14:textId="5E1A90C5" w:rsidR="0086593A" w:rsidRDefault="00A957B0" w:rsidP="00F01EF5">
      <w:pPr>
        <w:spacing w:after="0"/>
        <w:ind w:firstLine="720"/>
        <w:jc w:val="both"/>
        <w:rPr>
          <w:rFonts w:ascii="Times New Roman" w:hAnsi="Times New Roman" w:cs="Times New Roman"/>
          <w:color w:val="000000"/>
          <w:sz w:val="24"/>
          <w:szCs w:val="24"/>
        </w:rPr>
      </w:pPr>
      <w:r w:rsidRPr="00031F9E">
        <w:rPr>
          <w:rFonts w:ascii="Times New Roman" w:hAnsi="Times New Roman" w:cs="Times New Roman"/>
          <w:color w:val="000000"/>
          <w:sz w:val="24"/>
          <w:szCs w:val="24"/>
        </w:rPr>
        <w:t>Premij</w:t>
      </w:r>
      <w:r w:rsidR="00B72B4E" w:rsidRPr="00031F9E">
        <w:rPr>
          <w:rFonts w:ascii="Times New Roman" w:hAnsi="Times New Roman" w:cs="Times New Roman"/>
          <w:color w:val="000000"/>
          <w:sz w:val="24"/>
          <w:szCs w:val="24"/>
        </w:rPr>
        <w:t xml:space="preserve">ą gali skirti </w:t>
      </w:r>
      <w:r w:rsidR="00A74EA6">
        <w:rPr>
          <w:rFonts w:ascii="Times New Roman" w:hAnsi="Times New Roman" w:cs="Times New Roman"/>
          <w:color w:val="000000"/>
          <w:sz w:val="24"/>
          <w:szCs w:val="24"/>
        </w:rPr>
        <w:t>LR finansų ministerija</w:t>
      </w:r>
      <w:r w:rsidR="000C51D4" w:rsidRPr="00031F9E">
        <w:rPr>
          <w:rFonts w:ascii="Times New Roman" w:hAnsi="Times New Roman" w:cs="Times New Roman"/>
          <w:color w:val="000000"/>
          <w:sz w:val="24"/>
          <w:szCs w:val="24"/>
        </w:rPr>
        <w:t xml:space="preserve"> už išskirtinį valstybės įmonės vadovo indėlį įgyvendinant valstybės įmonės tikslus arba pasiektus išskirtinius rezultatus, pasibaigus finansiniams metams ir patvirtinus finansinių ataskaitų rinkinius, iš valstybės įmonės pelno arba iš sutaupytų lėšų, skirtų darbo užmokesčiui</w:t>
      </w:r>
      <w:r w:rsidR="00D96E29" w:rsidRPr="00031F9E">
        <w:rPr>
          <w:rFonts w:ascii="Times New Roman" w:hAnsi="Times New Roman" w:cs="Times New Roman"/>
          <w:color w:val="000000"/>
          <w:sz w:val="24"/>
          <w:szCs w:val="24"/>
        </w:rPr>
        <w:t>.</w:t>
      </w:r>
      <w:r w:rsidR="000C51D4" w:rsidRPr="00031F9E">
        <w:rPr>
          <w:rFonts w:ascii="Times New Roman" w:hAnsi="Times New Roman" w:cs="Times New Roman"/>
          <w:color w:val="000000"/>
          <w:sz w:val="24"/>
          <w:szCs w:val="24"/>
        </w:rPr>
        <w:t xml:space="preserve"> </w:t>
      </w:r>
      <w:r w:rsidR="00D96E29" w:rsidRPr="00031F9E">
        <w:rPr>
          <w:rFonts w:ascii="Times New Roman" w:hAnsi="Times New Roman" w:cs="Times New Roman"/>
          <w:color w:val="000000"/>
          <w:sz w:val="24"/>
          <w:szCs w:val="24"/>
        </w:rPr>
        <w:t>P</w:t>
      </w:r>
      <w:r w:rsidR="000C51D4" w:rsidRPr="00031F9E">
        <w:rPr>
          <w:rFonts w:ascii="Times New Roman" w:hAnsi="Times New Roman" w:cs="Times New Roman"/>
          <w:color w:val="000000"/>
          <w:sz w:val="24"/>
          <w:szCs w:val="24"/>
        </w:rPr>
        <w:t>remij</w:t>
      </w:r>
      <w:r w:rsidR="00D96E29" w:rsidRPr="00031F9E">
        <w:rPr>
          <w:rFonts w:ascii="Times New Roman" w:hAnsi="Times New Roman" w:cs="Times New Roman"/>
          <w:color w:val="000000"/>
          <w:sz w:val="24"/>
          <w:szCs w:val="24"/>
        </w:rPr>
        <w:t>os</w:t>
      </w:r>
      <w:r w:rsidR="000C51D4" w:rsidRPr="00031F9E">
        <w:rPr>
          <w:rFonts w:ascii="Times New Roman" w:hAnsi="Times New Roman" w:cs="Times New Roman"/>
          <w:color w:val="000000"/>
          <w:sz w:val="24"/>
          <w:szCs w:val="24"/>
        </w:rPr>
        <w:t xml:space="preserve"> dydis negali viršyti jo 4 pareiginės algos dydžių.</w:t>
      </w:r>
    </w:p>
    <w:p w14:paraId="5C016605" w14:textId="77777777" w:rsidR="00F01EF5" w:rsidRDefault="00F01EF5" w:rsidP="00F01EF5">
      <w:pPr>
        <w:spacing w:after="0"/>
        <w:ind w:firstLine="720"/>
        <w:jc w:val="both"/>
        <w:rPr>
          <w:rFonts w:ascii="Times New Roman" w:hAnsi="Times New Roman" w:cs="Times New Roman"/>
          <w:sz w:val="24"/>
          <w:szCs w:val="24"/>
          <w:lang w:eastAsia="lt-LT"/>
        </w:rPr>
      </w:pPr>
    </w:p>
    <w:p w14:paraId="57B30017" w14:textId="1ABD501E" w:rsidR="00EB78D0" w:rsidRPr="00BE3BF8" w:rsidRDefault="00EB78D0" w:rsidP="00F01EF5">
      <w:pPr>
        <w:ind w:firstLine="720"/>
        <w:rPr>
          <w:rFonts w:ascii="Times New Roman" w:hAnsi="Times New Roman" w:cs="Times New Roman"/>
          <w:sz w:val="24"/>
          <w:szCs w:val="24"/>
          <w:lang w:eastAsia="lt-LT"/>
        </w:rPr>
      </w:pPr>
      <w:r w:rsidRPr="00BE3BF8">
        <w:rPr>
          <w:rFonts w:ascii="Times New Roman" w:hAnsi="Times New Roman" w:cs="Times New Roman"/>
          <w:sz w:val="24"/>
          <w:szCs w:val="24"/>
          <w:lang w:eastAsia="lt-LT"/>
        </w:rPr>
        <w:t xml:space="preserve">2023 metams </w:t>
      </w:r>
      <w:r w:rsidR="00C14489">
        <w:rPr>
          <w:rFonts w:ascii="Times New Roman" w:hAnsi="Times New Roman" w:cs="Times New Roman"/>
          <w:sz w:val="24"/>
          <w:szCs w:val="24"/>
          <w:lang w:eastAsia="lt-LT"/>
        </w:rPr>
        <w:t xml:space="preserve">Turto bankui </w:t>
      </w:r>
      <w:r w:rsidR="00F82DCD">
        <w:rPr>
          <w:rFonts w:ascii="Times New Roman" w:hAnsi="Times New Roman" w:cs="Times New Roman"/>
          <w:sz w:val="24"/>
          <w:szCs w:val="24"/>
          <w:lang w:eastAsia="lt-LT"/>
        </w:rPr>
        <w:t xml:space="preserve">buvo </w:t>
      </w:r>
      <w:r w:rsidRPr="00BE3BF8">
        <w:rPr>
          <w:rFonts w:ascii="Times New Roman" w:hAnsi="Times New Roman" w:cs="Times New Roman"/>
          <w:sz w:val="24"/>
          <w:szCs w:val="24"/>
          <w:lang w:eastAsia="lt-LT"/>
        </w:rPr>
        <w:t>nustatyti šie veiklos vertinami rodikliai:</w:t>
      </w:r>
    </w:p>
    <w:tbl>
      <w:tblPr>
        <w:tblStyle w:val="TableGrid"/>
        <w:tblW w:w="9776" w:type="dxa"/>
        <w:tblLook w:val="04A0" w:firstRow="1" w:lastRow="0" w:firstColumn="1" w:lastColumn="0" w:noHBand="0" w:noVBand="1"/>
      </w:tblPr>
      <w:tblGrid>
        <w:gridCol w:w="553"/>
        <w:gridCol w:w="4404"/>
        <w:gridCol w:w="1701"/>
        <w:gridCol w:w="1134"/>
        <w:gridCol w:w="1984"/>
      </w:tblGrid>
      <w:tr w:rsidR="009B6D3D" w:rsidRPr="00BE3BF8" w14:paraId="28622AE7" w14:textId="312829E3" w:rsidTr="00F648F0">
        <w:tc>
          <w:tcPr>
            <w:tcW w:w="553" w:type="dxa"/>
          </w:tcPr>
          <w:p w14:paraId="29B1B526" w14:textId="2FB2ED9E"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Eil. Nr.</w:t>
            </w:r>
          </w:p>
        </w:tc>
        <w:tc>
          <w:tcPr>
            <w:tcW w:w="4404" w:type="dxa"/>
          </w:tcPr>
          <w:p w14:paraId="217F3B30" w14:textId="3A7D66D8"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Rodiklis</w:t>
            </w:r>
          </w:p>
        </w:tc>
        <w:tc>
          <w:tcPr>
            <w:tcW w:w="1701" w:type="dxa"/>
          </w:tcPr>
          <w:p w14:paraId="290E65BF" w14:textId="4BB9B07B"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 xml:space="preserve">Rodiklio </w:t>
            </w:r>
            <w:r>
              <w:rPr>
                <w:rFonts w:ascii="Times New Roman" w:eastAsia="Times New Roman" w:hAnsi="Times New Roman" w:cs="Times New Roman"/>
                <w:kern w:val="0"/>
                <w:lang w:eastAsia="lt-LT"/>
                <w14:ligatures w14:val="none"/>
              </w:rPr>
              <w:t xml:space="preserve">planuota </w:t>
            </w:r>
            <w:r w:rsidRPr="00BE3BF8">
              <w:rPr>
                <w:rFonts w:ascii="Times New Roman" w:eastAsia="Times New Roman" w:hAnsi="Times New Roman" w:cs="Times New Roman"/>
                <w:kern w:val="0"/>
                <w:lang w:eastAsia="lt-LT"/>
                <w14:ligatures w14:val="none"/>
              </w:rPr>
              <w:t>reikšmė</w:t>
            </w:r>
          </w:p>
        </w:tc>
        <w:tc>
          <w:tcPr>
            <w:tcW w:w="1134" w:type="dxa"/>
          </w:tcPr>
          <w:p w14:paraId="6843AACA" w14:textId="0B7674B7" w:rsidR="009B6D3D" w:rsidRPr="00BE3BF8" w:rsidRDefault="009B6D3D" w:rsidP="00B6420D">
            <w:pPr>
              <w:rPr>
                <w:rFonts w:ascii="Times New Roman" w:eastAsia="Times New Roman" w:hAnsi="Times New Roman" w:cs="Times New Roman"/>
                <w:kern w:val="0"/>
                <w:lang w:eastAsia="lt-LT"/>
                <w14:ligatures w14:val="none"/>
              </w:rPr>
            </w:pPr>
            <w:r w:rsidRPr="000A626F">
              <w:rPr>
                <w:rFonts w:ascii="Times New Roman" w:eastAsia="Times New Roman" w:hAnsi="Times New Roman" w:cs="Times New Roman"/>
                <w:kern w:val="0"/>
                <w:lang w:eastAsia="lt-LT"/>
                <w14:ligatures w14:val="none"/>
              </w:rPr>
              <w:t>Rodiklio faktinė reikšmė</w:t>
            </w:r>
          </w:p>
        </w:tc>
        <w:tc>
          <w:tcPr>
            <w:tcW w:w="1984" w:type="dxa"/>
          </w:tcPr>
          <w:p w14:paraId="6CDBBDC2" w14:textId="387E81BB" w:rsidR="009B6D3D" w:rsidRPr="00F648F0" w:rsidRDefault="009B6D3D" w:rsidP="00B6420D">
            <w:pPr>
              <w:rPr>
                <w:rFonts w:ascii="Times New Roman" w:eastAsia="Times New Roman" w:hAnsi="Times New Roman" w:cs="Times New Roman"/>
                <w:kern w:val="0"/>
                <w:lang w:val="en-US" w:eastAsia="lt-LT"/>
                <w14:ligatures w14:val="none"/>
              </w:rPr>
            </w:pPr>
            <w:r w:rsidRPr="00BE3BF8">
              <w:rPr>
                <w:rFonts w:ascii="Times New Roman" w:eastAsia="Times New Roman" w:hAnsi="Times New Roman" w:cs="Times New Roman"/>
                <w:kern w:val="0"/>
                <w:lang w:eastAsia="lt-LT"/>
                <w14:ligatures w14:val="none"/>
              </w:rPr>
              <w:t>Vertinamo rodiklio lyginamasis svoris mėnesinės algos kintamojoje dalyje</w:t>
            </w:r>
          </w:p>
        </w:tc>
      </w:tr>
      <w:tr w:rsidR="009B6D3D" w:rsidRPr="00BE3BF8" w14:paraId="275DB05F" w14:textId="450BA294" w:rsidTr="00F648F0">
        <w:tc>
          <w:tcPr>
            <w:tcW w:w="553" w:type="dxa"/>
          </w:tcPr>
          <w:p w14:paraId="5914A394" w14:textId="30E1E307" w:rsidR="009B6D3D" w:rsidRPr="00BE3BF8" w:rsidRDefault="009B6D3D" w:rsidP="00B6420D">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1</w:t>
            </w:r>
          </w:p>
        </w:tc>
        <w:tc>
          <w:tcPr>
            <w:tcW w:w="4404" w:type="dxa"/>
          </w:tcPr>
          <w:p w14:paraId="07D43F6F" w14:textId="7EF83136"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Energetinio efektyvumo didinimas (kWh sumažėjimas)</w:t>
            </w:r>
            <w:r>
              <w:rPr>
                <w:rFonts w:ascii="Times New Roman" w:eastAsia="Times New Roman" w:hAnsi="Times New Roman" w:cs="Times New Roman"/>
                <w:kern w:val="0"/>
                <w:lang w:eastAsia="lt-LT"/>
                <w14:ligatures w14:val="none"/>
              </w:rPr>
              <w:t xml:space="preserve">, </w:t>
            </w:r>
            <w:r w:rsidRPr="000A626F">
              <w:rPr>
                <w:rFonts w:ascii="Times New Roman" w:hAnsi="Times New Roman" w:cs="Times New Roman"/>
              </w:rPr>
              <w:t>procentais</w:t>
            </w:r>
            <w:r w:rsidRPr="00BE3BF8">
              <w:rPr>
                <w:rFonts w:ascii="Times New Roman" w:eastAsia="Times New Roman" w:hAnsi="Times New Roman" w:cs="Times New Roman"/>
                <w:kern w:val="0"/>
                <w:lang w:eastAsia="lt-LT"/>
                <w14:ligatures w14:val="none"/>
              </w:rPr>
              <w:t> </w:t>
            </w:r>
          </w:p>
        </w:tc>
        <w:tc>
          <w:tcPr>
            <w:tcW w:w="1701" w:type="dxa"/>
          </w:tcPr>
          <w:p w14:paraId="7492308E" w14:textId="7677C5A2"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10</w:t>
            </w:r>
          </w:p>
        </w:tc>
        <w:tc>
          <w:tcPr>
            <w:tcW w:w="1134" w:type="dxa"/>
          </w:tcPr>
          <w:p w14:paraId="0918AC94" w14:textId="1182CF53" w:rsidR="009B6D3D" w:rsidRPr="00BE3BF8" w:rsidRDefault="00F648F0" w:rsidP="009B5F0E">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13</w:t>
            </w:r>
          </w:p>
        </w:tc>
        <w:tc>
          <w:tcPr>
            <w:tcW w:w="1984" w:type="dxa"/>
          </w:tcPr>
          <w:p w14:paraId="6A68DF34" w14:textId="06FBE8A5" w:rsidR="009B6D3D" w:rsidRPr="00BE3BF8" w:rsidRDefault="009B6D3D" w:rsidP="009B5F0E">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15 procentų</w:t>
            </w:r>
          </w:p>
        </w:tc>
      </w:tr>
      <w:tr w:rsidR="009B6D3D" w:rsidRPr="00BE3BF8" w14:paraId="36D65715" w14:textId="5447CD1E" w:rsidTr="00F648F0">
        <w:tc>
          <w:tcPr>
            <w:tcW w:w="553" w:type="dxa"/>
          </w:tcPr>
          <w:p w14:paraId="5043FEDB" w14:textId="64CF5AFB" w:rsidR="009B6D3D" w:rsidRPr="00BE3BF8" w:rsidRDefault="009B6D3D" w:rsidP="00B6420D">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2</w:t>
            </w:r>
          </w:p>
        </w:tc>
        <w:tc>
          <w:tcPr>
            <w:tcW w:w="4404" w:type="dxa"/>
          </w:tcPr>
          <w:p w14:paraId="5B95094C" w14:textId="03ECEA71"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Vienai darbo vietai tenkančių kv. metrų mažėjimas</w:t>
            </w:r>
            <w:r>
              <w:rPr>
                <w:rFonts w:ascii="Times New Roman" w:eastAsia="Times New Roman" w:hAnsi="Times New Roman" w:cs="Times New Roman"/>
                <w:kern w:val="0"/>
                <w:lang w:eastAsia="lt-LT"/>
                <w14:ligatures w14:val="none"/>
              </w:rPr>
              <w:t xml:space="preserve">, </w:t>
            </w:r>
            <w:r w:rsidRPr="00BE3BF8">
              <w:rPr>
                <w:rFonts w:ascii="Times New Roman" w:eastAsia="Times New Roman" w:hAnsi="Times New Roman" w:cs="Times New Roman"/>
                <w:kern w:val="0"/>
                <w:lang w:eastAsia="lt-LT"/>
                <w14:ligatures w14:val="none"/>
              </w:rPr>
              <w:t>procent</w:t>
            </w:r>
            <w:r>
              <w:rPr>
                <w:rFonts w:ascii="Times New Roman" w:eastAsia="Times New Roman" w:hAnsi="Times New Roman" w:cs="Times New Roman"/>
                <w:kern w:val="0"/>
                <w:lang w:eastAsia="lt-LT"/>
                <w14:ligatures w14:val="none"/>
              </w:rPr>
              <w:t>ais</w:t>
            </w:r>
          </w:p>
        </w:tc>
        <w:tc>
          <w:tcPr>
            <w:tcW w:w="1701" w:type="dxa"/>
          </w:tcPr>
          <w:p w14:paraId="7F929E78" w14:textId="32EAA427"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2,5 (ne daugiau kaip 20,25 kv. metro)</w:t>
            </w:r>
          </w:p>
        </w:tc>
        <w:tc>
          <w:tcPr>
            <w:tcW w:w="1134" w:type="dxa"/>
          </w:tcPr>
          <w:p w14:paraId="558B2DC9" w14:textId="368A06D5" w:rsidR="009B6D3D" w:rsidRPr="00BE3BF8" w:rsidRDefault="00F648F0" w:rsidP="009B5F0E">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2,6</w:t>
            </w:r>
          </w:p>
        </w:tc>
        <w:tc>
          <w:tcPr>
            <w:tcW w:w="1984" w:type="dxa"/>
          </w:tcPr>
          <w:p w14:paraId="6194E212" w14:textId="12A16ACE" w:rsidR="009B6D3D" w:rsidRPr="00BE3BF8" w:rsidRDefault="009B6D3D" w:rsidP="009B5F0E">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20 procentų</w:t>
            </w:r>
          </w:p>
        </w:tc>
      </w:tr>
      <w:tr w:rsidR="009B6D3D" w:rsidRPr="00BE3BF8" w14:paraId="325AEC7B" w14:textId="27B1B524" w:rsidTr="00F648F0">
        <w:tc>
          <w:tcPr>
            <w:tcW w:w="553" w:type="dxa"/>
          </w:tcPr>
          <w:p w14:paraId="57D79346" w14:textId="01E24E6A" w:rsidR="009B6D3D" w:rsidRPr="00BE3BF8" w:rsidRDefault="009B6D3D" w:rsidP="00B6420D">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3</w:t>
            </w:r>
          </w:p>
        </w:tc>
        <w:tc>
          <w:tcPr>
            <w:tcW w:w="4404" w:type="dxa"/>
          </w:tcPr>
          <w:p w14:paraId="0439CBAF" w14:textId="022C1B75" w:rsidR="009B6D3D" w:rsidRPr="00BE3BF8" w:rsidRDefault="009B6D3D" w:rsidP="00B6420D">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EBITDA (pelnas prieš palūkanas, mokesčius, nusidėvėjimą ir amortizaciją)</w:t>
            </w:r>
            <w:r w:rsidRPr="000A626F">
              <w:rPr>
                <w:rFonts w:ascii="Times New Roman" w:hAnsi="Times New Roman" w:cs="Times New Roman"/>
              </w:rPr>
              <w:t>, mln. Eurų</w:t>
            </w:r>
          </w:p>
        </w:tc>
        <w:tc>
          <w:tcPr>
            <w:tcW w:w="1701" w:type="dxa"/>
          </w:tcPr>
          <w:p w14:paraId="3847B797" w14:textId="4826551A" w:rsidR="009B6D3D" w:rsidRPr="000A626F" w:rsidRDefault="009B6D3D" w:rsidP="00B6420D">
            <w:pPr>
              <w:rPr>
                <w:rFonts w:ascii="Times New Roman" w:eastAsia="Times New Roman" w:hAnsi="Times New Roman" w:cs="Times New Roman"/>
                <w:kern w:val="0"/>
                <w:lang w:eastAsia="lt-LT"/>
                <w14:ligatures w14:val="none"/>
              </w:rPr>
            </w:pPr>
            <w:r w:rsidRPr="000A626F">
              <w:rPr>
                <w:rFonts w:ascii="Times New Roman" w:eastAsia="Times New Roman" w:hAnsi="Times New Roman" w:cs="Times New Roman"/>
                <w:kern w:val="0"/>
                <w:lang w:eastAsia="lt-LT"/>
                <w14:ligatures w14:val="none"/>
              </w:rPr>
              <w:t>ne mažiau kaip 4,5</w:t>
            </w:r>
          </w:p>
        </w:tc>
        <w:tc>
          <w:tcPr>
            <w:tcW w:w="1134" w:type="dxa"/>
          </w:tcPr>
          <w:p w14:paraId="5B3B3283" w14:textId="6E08B33B" w:rsidR="009B6D3D" w:rsidRPr="00BE3BF8" w:rsidRDefault="00791DF5" w:rsidP="009B5F0E">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6,8</w:t>
            </w:r>
          </w:p>
        </w:tc>
        <w:tc>
          <w:tcPr>
            <w:tcW w:w="1984" w:type="dxa"/>
          </w:tcPr>
          <w:p w14:paraId="677EEF6E" w14:textId="576866C3" w:rsidR="009B6D3D" w:rsidRPr="00BE3BF8" w:rsidRDefault="009B6D3D" w:rsidP="009B5F0E">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15 procentų</w:t>
            </w:r>
          </w:p>
        </w:tc>
      </w:tr>
    </w:tbl>
    <w:p w14:paraId="4FD42E2A" w14:textId="77777777" w:rsidR="00FF643D" w:rsidRDefault="00FF643D" w:rsidP="003363BD">
      <w:pPr>
        <w:ind w:firstLine="720"/>
        <w:rPr>
          <w:rFonts w:ascii="Times New Roman" w:hAnsi="Times New Roman" w:cs="Times New Roman"/>
          <w:sz w:val="24"/>
          <w:szCs w:val="24"/>
          <w:lang w:eastAsia="lt-LT"/>
        </w:rPr>
      </w:pPr>
    </w:p>
    <w:p w14:paraId="52FB5A84" w14:textId="196EEF04" w:rsidR="003363BD" w:rsidRPr="00BE3BF8" w:rsidRDefault="003363BD" w:rsidP="003363BD">
      <w:pPr>
        <w:ind w:firstLine="720"/>
        <w:rPr>
          <w:rFonts w:ascii="Times New Roman" w:hAnsi="Times New Roman" w:cs="Times New Roman"/>
          <w:sz w:val="24"/>
          <w:szCs w:val="24"/>
          <w:lang w:eastAsia="lt-LT"/>
        </w:rPr>
      </w:pPr>
      <w:r w:rsidRPr="00BE3BF8">
        <w:rPr>
          <w:rFonts w:ascii="Times New Roman" w:hAnsi="Times New Roman" w:cs="Times New Roman"/>
          <w:sz w:val="24"/>
          <w:szCs w:val="24"/>
          <w:lang w:eastAsia="lt-LT"/>
        </w:rPr>
        <w:t>202</w:t>
      </w:r>
      <w:r w:rsidR="005259AE">
        <w:rPr>
          <w:rFonts w:ascii="Times New Roman" w:hAnsi="Times New Roman" w:cs="Times New Roman"/>
          <w:sz w:val="24"/>
          <w:szCs w:val="24"/>
          <w:lang w:eastAsia="lt-LT"/>
        </w:rPr>
        <w:t xml:space="preserve">4 </w:t>
      </w:r>
      <w:r w:rsidRPr="00BE3BF8">
        <w:rPr>
          <w:rFonts w:ascii="Times New Roman" w:hAnsi="Times New Roman" w:cs="Times New Roman"/>
          <w:sz w:val="24"/>
          <w:szCs w:val="24"/>
          <w:lang w:eastAsia="lt-LT"/>
        </w:rPr>
        <w:t xml:space="preserve">metams </w:t>
      </w:r>
      <w:r>
        <w:rPr>
          <w:rFonts w:ascii="Times New Roman" w:hAnsi="Times New Roman" w:cs="Times New Roman"/>
          <w:sz w:val="24"/>
          <w:szCs w:val="24"/>
          <w:lang w:eastAsia="lt-LT"/>
        </w:rPr>
        <w:t xml:space="preserve">Turto bankui </w:t>
      </w:r>
      <w:r w:rsidRPr="00BE3BF8">
        <w:rPr>
          <w:rFonts w:ascii="Times New Roman" w:hAnsi="Times New Roman" w:cs="Times New Roman"/>
          <w:sz w:val="24"/>
          <w:szCs w:val="24"/>
          <w:lang w:eastAsia="lt-LT"/>
        </w:rPr>
        <w:t>nustatyti šie veiklos vertinami rodikliai:</w:t>
      </w:r>
    </w:p>
    <w:tbl>
      <w:tblPr>
        <w:tblStyle w:val="TableGrid"/>
        <w:tblW w:w="9776" w:type="dxa"/>
        <w:tblLook w:val="04A0" w:firstRow="1" w:lastRow="0" w:firstColumn="1" w:lastColumn="0" w:noHBand="0" w:noVBand="1"/>
      </w:tblPr>
      <w:tblGrid>
        <w:gridCol w:w="553"/>
        <w:gridCol w:w="5112"/>
        <w:gridCol w:w="2127"/>
        <w:gridCol w:w="1984"/>
      </w:tblGrid>
      <w:tr w:rsidR="001C6CD7" w:rsidRPr="00BE3BF8" w14:paraId="541301F4" w14:textId="77777777" w:rsidTr="00A863FF">
        <w:tc>
          <w:tcPr>
            <w:tcW w:w="553" w:type="dxa"/>
          </w:tcPr>
          <w:p w14:paraId="0FCC4E2D" w14:textId="77777777" w:rsidR="001C6CD7" w:rsidRPr="00BE3BF8" w:rsidRDefault="001C6CD7" w:rsidP="007636A6">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Eil. Nr.</w:t>
            </w:r>
          </w:p>
        </w:tc>
        <w:tc>
          <w:tcPr>
            <w:tcW w:w="5112" w:type="dxa"/>
          </w:tcPr>
          <w:p w14:paraId="2BDFCE1E" w14:textId="77777777" w:rsidR="001C6CD7" w:rsidRPr="00BE3BF8" w:rsidRDefault="001C6CD7" w:rsidP="007636A6">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Rodiklis</w:t>
            </w:r>
          </w:p>
        </w:tc>
        <w:tc>
          <w:tcPr>
            <w:tcW w:w="2127" w:type="dxa"/>
          </w:tcPr>
          <w:p w14:paraId="43F33076" w14:textId="472E7189" w:rsidR="001C6CD7" w:rsidRPr="00BE3BF8" w:rsidRDefault="001121EF" w:rsidP="007636A6">
            <w:pPr>
              <w:rPr>
                <w:rFonts w:ascii="Times New Roman" w:hAnsi="Times New Roman" w:cs="Times New Roman"/>
                <w:sz w:val="24"/>
                <w:szCs w:val="24"/>
                <w:lang w:eastAsia="lt-LT"/>
              </w:rPr>
            </w:pPr>
            <w:r>
              <w:rPr>
                <w:rFonts w:ascii="Times New Roman" w:eastAsia="Times New Roman" w:hAnsi="Times New Roman" w:cs="Times New Roman"/>
                <w:kern w:val="0"/>
                <w:lang w:eastAsia="lt-LT"/>
                <w14:ligatures w14:val="none"/>
              </w:rPr>
              <w:t>Siektina r</w:t>
            </w:r>
            <w:r w:rsidR="001C6CD7" w:rsidRPr="00BE3BF8">
              <w:rPr>
                <w:rFonts w:ascii="Times New Roman" w:eastAsia="Times New Roman" w:hAnsi="Times New Roman" w:cs="Times New Roman"/>
                <w:kern w:val="0"/>
                <w:lang w:eastAsia="lt-LT"/>
                <w14:ligatures w14:val="none"/>
              </w:rPr>
              <w:t xml:space="preserve">odiklio </w:t>
            </w:r>
            <w:r w:rsidR="001C6CD7">
              <w:rPr>
                <w:rFonts w:ascii="Times New Roman" w:eastAsia="Times New Roman" w:hAnsi="Times New Roman" w:cs="Times New Roman"/>
                <w:kern w:val="0"/>
                <w:lang w:eastAsia="lt-LT"/>
                <w14:ligatures w14:val="none"/>
              </w:rPr>
              <w:t xml:space="preserve"> </w:t>
            </w:r>
            <w:r w:rsidR="001C6CD7" w:rsidRPr="00BE3BF8">
              <w:rPr>
                <w:rFonts w:ascii="Times New Roman" w:eastAsia="Times New Roman" w:hAnsi="Times New Roman" w:cs="Times New Roman"/>
                <w:kern w:val="0"/>
                <w:lang w:eastAsia="lt-LT"/>
                <w14:ligatures w14:val="none"/>
              </w:rPr>
              <w:t>reikšmė</w:t>
            </w:r>
          </w:p>
        </w:tc>
        <w:tc>
          <w:tcPr>
            <w:tcW w:w="1984" w:type="dxa"/>
          </w:tcPr>
          <w:p w14:paraId="319C4BC1" w14:textId="4AF52F3D" w:rsidR="001C6CD7" w:rsidRPr="00F648F0" w:rsidRDefault="001C6CD7" w:rsidP="007636A6">
            <w:pPr>
              <w:rPr>
                <w:rFonts w:ascii="Times New Roman" w:eastAsia="Times New Roman" w:hAnsi="Times New Roman" w:cs="Times New Roman"/>
                <w:kern w:val="0"/>
                <w:lang w:val="en-US" w:eastAsia="lt-LT"/>
                <w14:ligatures w14:val="none"/>
              </w:rPr>
            </w:pPr>
            <w:r w:rsidRPr="00BE3BF8">
              <w:rPr>
                <w:rFonts w:ascii="Times New Roman" w:eastAsia="Times New Roman" w:hAnsi="Times New Roman" w:cs="Times New Roman"/>
                <w:kern w:val="0"/>
                <w:lang w:eastAsia="lt-LT"/>
                <w14:ligatures w14:val="none"/>
              </w:rPr>
              <w:t>Vertinamo rodiklio lyginamasis svoris mėnesinės algos kintamojoje dalyje</w:t>
            </w:r>
            <w:r w:rsidR="00A1358B">
              <w:rPr>
                <w:rFonts w:ascii="Times New Roman" w:eastAsia="Times New Roman" w:hAnsi="Times New Roman" w:cs="Times New Roman"/>
                <w:kern w:val="0"/>
                <w:lang w:eastAsia="lt-LT"/>
                <w14:ligatures w14:val="none"/>
              </w:rPr>
              <w:t xml:space="preserve"> </w:t>
            </w:r>
          </w:p>
        </w:tc>
      </w:tr>
      <w:tr w:rsidR="001C6CD7" w:rsidRPr="00BE3BF8" w14:paraId="20870E1A" w14:textId="77777777" w:rsidTr="00A863FF">
        <w:tc>
          <w:tcPr>
            <w:tcW w:w="553" w:type="dxa"/>
          </w:tcPr>
          <w:p w14:paraId="783EDB7B" w14:textId="77777777" w:rsidR="001C6CD7" w:rsidRPr="00BE3BF8" w:rsidRDefault="001C6CD7" w:rsidP="007636A6">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1</w:t>
            </w:r>
          </w:p>
        </w:tc>
        <w:tc>
          <w:tcPr>
            <w:tcW w:w="5112" w:type="dxa"/>
          </w:tcPr>
          <w:p w14:paraId="1E7708D4" w14:textId="00EC51E6" w:rsidR="001C6CD7" w:rsidRPr="00BE3BF8" w:rsidRDefault="001C6CD7" w:rsidP="007636A6">
            <w:pPr>
              <w:rPr>
                <w:rFonts w:ascii="Times New Roman" w:hAnsi="Times New Roman" w:cs="Times New Roman"/>
                <w:sz w:val="24"/>
                <w:szCs w:val="24"/>
                <w:lang w:eastAsia="lt-LT"/>
              </w:rPr>
            </w:pPr>
            <w:r>
              <w:rPr>
                <w:rFonts w:ascii="Times New Roman" w:eastAsia="Times New Roman" w:hAnsi="Times New Roman" w:cs="Times New Roman"/>
                <w:kern w:val="0"/>
                <w:lang w:eastAsia="lt-LT"/>
                <w14:ligatures w14:val="none"/>
              </w:rPr>
              <w:t>Centralizuotai valdomo administracinės paskirties valstybės nekilnojamojo turto e</w:t>
            </w:r>
            <w:r w:rsidRPr="00BE3BF8">
              <w:rPr>
                <w:rFonts w:ascii="Times New Roman" w:eastAsia="Times New Roman" w:hAnsi="Times New Roman" w:cs="Times New Roman"/>
                <w:kern w:val="0"/>
                <w:lang w:eastAsia="lt-LT"/>
                <w14:ligatures w14:val="none"/>
              </w:rPr>
              <w:t>nergetinio efektyvumo didinimas (kWh sumažėjimas)</w:t>
            </w:r>
            <w:r>
              <w:rPr>
                <w:rFonts w:ascii="Times New Roman" w:eastAsia="Times New Roman" w:hAnsi="Times New Roman" w:cs="Times New Roman"/>
                <w:kern w:val="0"/>
                <w:lang w:eastAsia="lt-LT"/>
                <w14:ligatures w14:val="none"/>
              </w:rPr>
              <w:t xml:space="preserve">, </w:t>
            </w:r>
            <w:r w:rsidRPr="000A626F">
              <w:rPr>
                <w:rFonts w:ascii="Times New Roman" w:hAnsi="Times New Roman" w:cs="Times New Roman"/>
              </w:rPr>
              <w:t>procentais</w:t>
            </w:r>
            <w:r w:rsidRPr="00BE3BF8">
              <w:rPr>
                <w:rFonts w:ascii="Times New Roman" w:eastAsia="Times New Roman" w:hAnsi="Times New Roman" w:cs="Times New Roman"/>
                <w:kern w:val="0"/>
                <w:lang w:eastAsia="lt-LT"/>
                <w14:ligatures w14:val="none"/>
              </w:rPr>
              <w:t> </w:t>
            </w:r>
          </w:p>
        </w:tc>
        <w:tc>
          <w:tcPr>
            <w:tcW w:w="2127" w:type="dxa"/>
          </w:tcPr>
          <w:p w14:paraId="579A6C54" w14:textId="4F041413" w:rsidR="001C6CD7" w:rsidRPr="00F102D3" w:rsidRDefault="001C6CD7" w:rsidP="007636A6">
            <w:pPr>
              <w:rPr>
                <w:rFonts w:ascii="Times New Roman" w:hAnsi="Times New Roman" w:cs="Times New Roman"/>
                <w:sz w:val="24"/>
                <w:szCs w:val="24"/>
                <w:lang w:val="en-US" w:eastAsia="lt-LT"/>
              </w:rPr>
            </w:pPr>
            <w:r>
              <w:rPr>
                <w:rFonts w:ascii="Times New Roman" w:hAnsi="Times New Roman" w:cs="Times New Roman"/>
                <w:sz w:val="24"/>
                <w:szCs w:val="24"/>
                <w:lang w:val="en-US" w:eastAsia="lt-LT"/>
              </w:rPr>
              <w:t>7,5</w:t>
            </w:r>
          </w:p>
        </w:tc>
        <w:tc>
          <w:tcPr>
            <w:tcW w:w="1984" w:type="dxa"/>
          </w:tcPr>
          <w:p w14:paraId="1ABEB088" w14:textId="663A5B6E" w:rsidR="001C6CD7" w:rsidRPr="00BE3BF8" w:rsidRDefault="001C6CD7" w:rsidP="007636A6">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Pr>
                <w:rFonts w:ascii="Times New Roman" w:eastAsia="Times New Roman" w:hAnsi="Times New Roman" w:cs="Times New Roman"/>
                <w:kern w:val="0"/>
                <w:lang w:eastAsia="lt-LT"/>
                <w14:ligatures w14:val="none"/>
              </w:rPr>
              <w:t>0</w:t>
            </w:r>
            <w:r w:rsidRPr="00BE3BF8">
              <w:rPr>
                <w:rFonts w:ascii="Times New Roman" w:eastAsia="Times New Roman" w:hAnsi="Times New Roman" w:cs="Times New Roman"/>
                <w:kern w:val="0"/>
                <w:lang w:eastAsia="lt-LT"/>
                <w14:ligatures w14:val="none"/>
              </w:rPr>
              <w:t xml:space="preserve"> procentų</w:t>
            </w:r>
          </w:p>
        </w:tc>
      </w:tr>
      <w:tr w:rsidR="001C6CD7" w:rsidRPr="00BE3BF8" w14:paraId="515C7563" w14:textId="77777777" w:rsidTr="00A863FF">
        <w:tc>
          <w:tcPr>
            <w:tcW w:w="553" w:type="dxa"/>
          </w:tcPr>
          <w:p w14:paraId="7834B3DD" w14:textId="77777777" w:rsidR="001C6CD7" w:rsidRPr="00BE3BF8" w:rsidRDefault="001C6CD7" w:rsidP="007636A6">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2</w:t>
            </w:r>
          </w:p>
        </w:tc>
        <w:tc>
          <w:tcPr>
            <w:tcW w:w="5112" w:type="dxa"/>
          </w:tcPr>
          <w:p w14:paraId="18E51CE0" w14:textId="1DFC2D02" w:rsidR="001C6CD7" w:rsidRPr="00BE3BF8" w:rsidRDefault="00B0672A" w:rsidP="007636A6">
            <w:pPr>
              <w:rPr>
                <w:rFonts w:ascii="Times New Roman" w:hAnsi="Times New Roman" w:cs="Times New Roman"/>
                <w:sz w:val="24"/>
                <w:szCs w:val="24"/>
                <w:lang w:eastAsia="lt-LT"/>
              </w:rPr>
            </w:pPr>
            <w:r>
              <w:rPr>
                <w:rFonts w:ascii="Times New Roman" w:eastAsia="Times New Roman" w:hAnsi="Times New Roman" w:cs="Times New Roman"/>
                <w:kern w:val="0"/>
                <w:lang w:eastAsia="lt-LT"/>
                <w14:ligatures w14:val="none"/>
              </w:rPr>
              <w:t xml:space="preserve">Centralizuotai valdomo administracinės paskirties valstybės nekilnojamojo turto </w:t>
            </w:r>
            <w:r w:rsidR="005A7215">
              <w:rPr>
                <w:rFonts w:ascii="Times New Roman" w:eastAsia="Times New Roman" w:hAnsi="Times New Roman" w:cs="Times New Roman"/>
                <w:kern w:val="0"/>
                <w:lang w:eastAsia="lt-LT"/>
                <w14:ligatures w14:val="none"/>
              </w:rPr>
              <w:t>v</w:t>
            </w:r>
            <w:r w:rsidR="001C6CD7" w:rsidRPr="00BE3BF8">
              <w:rPr>
                <w:rFonts w:ascii="Times New Roman" w:eastAsia="Times New Roman" w:hAnsi="Times New Roman" w:cs="Times New Roman"/>
                <w:kern w:val="0"/>
                <w:lang w:eastAsia="lt-LT"/>
                <w14:ligatures w14:val="none"/>
              </w:rPr>
              <w:t>ienai darbo vietai tenkančių kv. metrų mažėjimas</w:t>
            </w:r>
            <w:r w:rsidR="001C6CD7">
              <w:rPr>
                <w:rFonts w:ascii="Times New Roman" w:eastAsia="Times New Roman" w:hAnsi="Times New Roman" w:cs="Times New Roman"/>
                <w:kern w:val="0"/>
                <w:lang w:eastAsia="lt-LT"/>
                <w14:ligatures w14:val="none"/>
              </w:rPr>
              <w:t xml:space="preserve">, </w:t>
            </w:r>
            <w:r w:rsidR="001C6CD7" w:rsidRPr="00BE3BF8">
              <w:rPr>
                <w:rFonts w:ascii="Times New Roman" w:eastAsia="Times New Roman" w:hAnsi="Times New Roman" w:cs="Times New Roman"/>
                <w:kern w:val="0"/>
                <w:lang w:eastAsia="lt-LT"/>
                <w14:ligatures w14:val="none"/>
              </w:rPr>
              <w:t>procent</w:t>
            </w:r>
            <w:r w:rsidR="001C6CD7">
              <w:rPr>
                <w:rFonts w:ascii="Times New Roman" w:eastAsia="Times New Roman" w:hAnsi="Times New Roman" w:cs="Times New Roman"/>
                <w:kern w:val="0"/>
                <w:lang w:eastAsia="lt-LT"/>
                <w14:ligatures w14:val="none"/>
              </w:rPr>
              <w:t>ais</w:t>
            </w:r>
          </w:p>
        </w:tc>
        <w:tc>
          <w:tcPr>
            <w:tcW w:w="2127" w:type="dxa"/>
          </w:tcPr>
          <w:p w14:paraId="28916CF5" w14:textId="251DA255" w:rsidR="001C6CD7" w:rsidRPr="00BE3BF8" w:rsidRDefault="001C6CD7" w:rsidP="007636A6">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 xml:space="preserve">2 (ne daugiau kaip </w:t>
            </w:r>
            <w:r w:rsidR="005A7215">
              <w:rPr>
                <w:rFonts w:ascii="Times New Roman" w:eastAsia="Times New Roman" w:hAnsi="Times New Roman" w:cs="Times New Roman"/>
                <w:kern w:val="0"/>
                <w:lang w:eastAsia="lt-LT"/>
                <w14:ligatures w14:val="none"/>
              </w:rPr>
              <w:t>19,85</w:t>
            </w:r>
            <w:r w:rsidRPr="00BE3BF8">
              <w:rPr>
                <w:rFonts w:ascii="Times New Roman" w:eastAsia="Times New Roman" w:hAnsi="Times New Roman" w:cs="Times New Roman"/>
                <w:kern w:val="0"/>
                <w:lang w:eastAsia="lt-LT"/>
                <w14:ligatures w14:val="none"/>
              </w:rPr>
              <w:t xml:space="preserve"> kv. metro)</w:t>
            </w:r>
          </w:p>
        </w:tc>
        <w:tc>
          <w:tcPr>
            <w:tcW w:w="1984" w:type="dxa"/>
          </w:tcPr>
          <w:p w14:paraId="1EAF97BA" w14:textId="4B90EFA1" w:rsidR="001C6CD7" w:rsidRPr="00BE3BF8" w:rsidRDefault="00227402" w:rsidP="007636A6">
            <w:pPr>
              <w:jc w:val="center"/>
              <w:rPr>
                <w:rFonts w:ascii="Times New Roman" w:eastAsia="Times New Roman" w:hAnsi="Times New Roman" w:cs="Times New Roman"/>
                <w:kern w:val="0"/>
                <w:lang w:eastAsia="lt-LT"/>
                <w14:ligatures w14:val="none"/>
              </w:rPr>
            </w:pPr>
            <w:r>
              <w:rPr>
                <w:rFonts w:ascii="Times New Roman" w:eastAsia="Times New Roman" w:hAnsi="Times New Roman" w:cs="Times New Roman"/>
                <w:kern w:val="0"/>
                <w:lang w:eastAsia="lt-LT"/>
                <w14:ligatures w14:val="none"/>
              </w:rPr>
              <w:t>1</w:t>
            </w:r>
            <w:r w:rsidR="001C6CD7" w:rsidRPr="00BE3BF8">
              <w:rPr>
                <w:rFonts w:ascii="Times New Roman" w:eastAsia="Times New Roman" w:hAnsi="Times New Roman" w:cs="Times New Roman"/>
                <w:kern w:val="0"/>
                <w:lang w:eastAsia="lt-LT"/>
                <w14:ligatures w14:val="none"/>
              </w:rPr>
              <w:t>0 procentų</w:t>
            </w:r>
          </w:p>
        </w:tc>
      </w:tr>
      <w:tr w:rsidR="001C6CD7" w:rsidRPr="00BE3BF8" w14:paraId="14E38EDB" w14:textId="77777777" w:rsidTr="00A863FF">
        <w:tc>
          <w:tcPr>
            <w:tcW w:w="553" w:type="dxa"/>
          </w:tcPr>
          <w:p w14:paraId="6310475B" w14:textId="77777777" w:rsidR="001C6CD7" w:rsidRPr="00BE3BF8" w:rsidRDefault="001C6CD7" w:rsidP="007636A6">
            <w:pPr>
              <w:rPr>
                <w:rFonts w:ascii="Times New Roman" w:hAnsi="Times New Roman" w:cs="Times New Roman"/>
                <w:sz w:val="24"/>
                <w:szCs w:val="24"/>
                <w:lang w:eastAsia="lt-LT"/>
              </w:rPr>
            </w:pPr>
            <w:r w:rsidRPr="00BE3BF8">
              <w:rPr>
                <w:rFonts w:ascii="Times New Roman" w:hAnsi="Times New Roman" w:cs="Times New Roman"/>
                <w:sz w:val="24"/>
                <w:szCs w:val="24"/>
                <w:lang w:eastAsia="lt-LT"/>
              </w:rPr>
              <w:t>3</w:t>
            </w:r>
          </w:p>
        </w:tc>
        <w:tc>
          <w:tcPr>
            <w:tcW w:w="5112" w:type="dxa"/>
          </w:tcPr>
          <w:p w14:paraId="028E5996" w14:textId="77777777" w:rsidR="001C6CD7" w:rsidRPr="00BE3BF8" w:rsidRDefault="001C6CD7" w:rsidP="007636A6">
            <w:pPr>
              <w:rPr>
                <w:rFonts w:ascii="Times New Roman" w:hAnsi="Times New Roman" w:cs="Times New Roman"/>
                <w:sz w:val="24"/>
                <w:szCs w:val="24"/>
                <w:lang w:eastAsia="lt-LT"/>
              </w:rPr>
            </w:pPr>
            <w:r w:rsidRPr="00BE3BF8">
              <w:rPr>
                <w:rFonts w:ascii="Times New Roman" w:eastAsia="Times New Roman" w:hAnsi="Times New Roman" w:cs="Times New Roman"/>
                <w:kern w:val="0"/>
                <w:lang w:eastAsia="lt-LT"/>
                <w14:ligatures w14:val="none"/>
              </w:rPr>
              <w:t>EBITDA (pelnas prieš palūkanas, mokesčius, nusidėvėjimą ir amortizaciją)</w:t>
            </w:r>
            <w:r w:rsidRPr="000A626F">
              <w:rPr>
                <w:rFonts w:ascii="Times New Roman" w:hAnsi="Times New Roman" w:cs="Times New Roman"/>
              </w:rPr>
              <w:t>, mln. Eurų</w:t>
            </w:r>
          </w:p>
        </w:tc>
        <w:tc>
          <w:tcPr>
            <w:tcW w:w="2127" w:type="dxa"/>
          </w:tcPr>
          <w:p w14:paraId="2A0F75B5" w14:textId="77777777" w:rsidR="001C6CD7" w:rsidRPr="000A626F" w:rsidRDefault="001C6CD7" w:rsidP="007636A6">
            <w:pPr>
              <w:rPr>
                <w:rFonts w:ascii="Times New Roman" w:eastAsia="Times New Roman" w:hAnsi="Times New Roman" w:cs="Times New Roman"/>
                <w:kern w:val="0"/>
                <w:lang w:eastAsia="lt-LT"/>
                <w14:ligatures w14:val="none"/>
              </w:rPr>
            </w:pPr>
            <w:r w:rsidRPr="000A626F">
              <w:rPr>
                <w:rFonts w:ascii="Times New Roman" w:eastAsia="Times New Roman" w:hAnsi="Times New Roman" w:cs="Times New Roman"/>
                <w:kern w:val="0"/>
                <w:lang w:eastAsia="lt-LT"/>
                <w14:ligatures w14:val="none"/>
              </w:rPr>
              <w:t>ne mažiau kaip 4,5</w:t>
            </w:r>
          </w:p>
        </w:tc>
        <w:tc>
          <w:tcPr>
            <w:tcW w:w="1984" w:type="dxa"/>
          </w:tcPr>
          <w:p w14:paraId="200C59F3" w14:textId="47C37B6E" w:rsidR="001C6CD7" w:rsidRPr="00BE3BF8" w:rsidRDefault="001C6CD7" w:rsidP="007636A6">
            <w:pPr>
              <w:jc w:val="center"/>
              <w:rPr>
                <w:rFonts w:ascii="Times New Roman" w:eastAsia="Times New Roman" w:hAnsi="Times New Roman" w:cs="Times New Roman"/>
                <w:kern w:val="0"/>
                <w:lang w:eastAsia="lt-LT"/>
                <w14:ligatures w14:val="none"/>
              </w:rPr>
            </w:pPr>
            <w:r w:rsidRPr="00BE3BF8">
              <w:rPr>
                <w:rFonts w:ascii="Times New Roman" w:eastAsia="Times New Roman" w:hAnsi="Times New Roman" w:cs="Times New Roman"/>
                <w:kern w:val="0"/>
                <w:lang w:eastAsia="lt-LT"/>
                <w14:ligatures w14:val="none"/>
              </w:rPr>
              <w:t>1</w:t>
            </w:r>
            <w:r w:rsidR="00A1358B">
              <w:rPr>
                <w:rFonts w:ascii="Times New Roman" w:eastAsia="Times New Roman" w:hAnsi="Times New Roman" w:cs="Times New Roman"/>
                <w:kern w:val="0"/>
                <w:lang w:eastAsia="lt-LT"/>
                <w14:ligatures w14:val="none"/>
              </w:rPr>
              <w:t>0</w:t>
            </w:r>
            <w:r w:rsidRPr="00BE3BF8">
              <w:rPr>
                <w:rFonts w:ascii="Times New Roman" w:eastAsia="Times New Roman" w:hAnsi="Times New Roman" w:cs="Times New Roman"/>
                <w:kern w:val="0"/>
                <w:lang w:eastAsia="lt-LT"/>
                <w14:ligatures w14:val="none"/>
              </w:rPr>
              <w:t xml:space="preserve"> procentų</w:t>
            </w:r>
          </w:p>
        </w:tc>
      </w:tr>
    </w:tbl>
    <w:p w14:paraId="46F57E4E" w14:textId="77777777" w:rsidR="003363BD" w:rsidRDefault="003363BD" w:rsidP="00EB78D0">
      <w:pPr>
        <w:rPr>
          <w:rFonts w:ascii="Times New Roman" w:eastAsia="Times New Roman" w:hAnsi="Times New Roman" w:cs="Times New Roman"/>
          <w:kern w:val="0"/>
          <w:sz w:val="24"/>
          <w:szCs w:val="24"/>
          <w:lang w:eastAsia="lt-LT"/>
          <w14:ligatures w14:val="none"/>
        </w:rPr>
      </w:pPr>
    </w:p>
    <w:sectPr w:rsidR="003363B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D6C46"/>
    <w:multiLevelType w:val="hybridMultilevel"/>
    <w:tmpl w:val="584A9928"/>
    <w:lvl w:ilvl="0" w:tplc="0ECA95FA">
      <w:start w:val="1"/>
      <w:numFmt w:val="decimal"/>
      <w:lvlText w:val="%1."/>
      <w:lvlJc w:val="left"/>
      <w:pPr>
        <w:ind w:left="1440" w:hanging="360"/>
      </w:pPr>
      <w:rPr>
        <w:rFonts w:ascii="Times New Roman" w:hAnsi="Times New Roman" w:cs="Times New Roman" w:hint="default"/>
        <w:sz w:val="24"/>
        <w:szCs w:val="24"/>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6B421ACC"/>
    <w:multiLevelType w:val="multilevel"/>
    <w:tmpl w:val="42984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03098736">
    <w:abstractNumId w:val="1"/>
  </w:num>
  <w:num w:numId="2" w16cid:durableId="46388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22"/>
    <w:rsid w:val="0000610F"/>
    <w:rsid w:val="00031F9E"/>
    <w:rsid w:val="00064035"/>
    <w:rsid w:val="000A626F"/>
    <w:rsid w:val="000C51D4"/>
    <w:rsid w:val="000D09FD"/>
    <w:rsid w:val="000E4A4B"/>
    <w:rsid w:val="001121EF"/>
    <w:rsid w:val="001570DA"/>
    <w:rsid w:val="00166622"/>
    <w:rsid w:val="001C6CD7"/>
    <w:rsid w:val="002112D2"/>
    <w:rsid w:val="00213EB8"/>
    <w:rsid w:val="00227402"/>
    <w:rsid w:val="00232CF0"/>
    <w:rsid w:val="00274A02"/>
    <w:rsid w:val="00283B9A"/>
    <w:rsid w:val="002D300D"/>
    <w:rsid w:val="002E45D2"/>
    <w:rsid w:val="003363BD"/>
    <w:rsid w:val="00404C9F"/>
    <w:rsid w:val="00455C2B"/>
    <w:rsid w:val="004F3506"/>
    <w:rsid w:val="005259AE"/>
    <w:rsid w:val="005A7215"/>
    <w:rsid w:val="0078263F"/>
    <w:rsid w:val="00791DF5"/>
    <w:rsid w:val="007B58A7"/>
    <w:rsid w:val="007E6977"/>
    <w:rsid w:val="008148B7"/>
    <w:rsid w:val="008511BC"/>
    <w:rsid w:val="0086593A"/>
    <w:rsid w:val="008A6689"/>
    <w:rsid w:val="008C7C0A"/>
    <w:rsid w:val="009264CF"/>
    <w:rsid w:val="0093389C"/>
    <w:rsid w:val="00993A50"/>
    <w:rsid w:val="009B5F0E"/>
    <w:rsid w:val="009B6D3D"/>
    <w:rsid w:val="00A02315"/>
    <w:rsid w:val="00A1358B"/>
    <w:rsid w:val="00A1432F"/>
    <w:rsid w:val="00A20656"/>
    <w:rsid w:val="00A74EA6"/>
    <w:rsid w:val="00A863FF"/>
    <w:rsid w:val="00A957B0"/>
    <w:rsid w:val="00AC4F0E"/>
    <w:rsid w:val="00AE31B8"/>
    <w:rsid w:val="00B0672A"/>
    <w:rsid w:val="00B6420D"/>
    <w:rsid w:val="00B65A49"/>
    <w:rsid w:val="00B70863"/>
    <w:rsid w:val="00B72B4E"/>
    <w:rsid w:val="00BE3BF8"/>
    <w:rsid w:val="00C1326A"/>
    <w:rsid w:val="00C14489"/>
    <w:rsid w:val="00C25F38"/>
    <w:rsid w:val="00C50AD0"/>
    <w:rsid w:val="00CC1908"/>
    <w:rsid w:val="00D33A75"/>
    <w:rsid w:val="00D34896"/>
    <w:rsid w:val="00D62AF5"/>
    <w:rsid w:val="00D968A7"/>
    <w:rsid w:val="00D96E29"/>
    <w:rsid w:val="00DB6802"/>
    <w:rsid w:val="00E01A90"/>
    <w:rsid w:val="00E565DF"/>
    <w:rsid w:val="00E76E33"/>
    <w:rsid w:val="00E92853"/>
    <w:rsid w:val="00EB6FA9"/>
    <w:rsid w:val="00EB78D0"/>
    <w:rsid w:val="00F0184F"/>
    <w:rsid w:val="00F01EF5"/>
    <w:rsid w:val="00F0502D"/>
    <w:rsid w:val="00F102D3"/>
    <w:rsid w:val="00F50554"/>
    <w:rsid w:val="00F648F0"/>
    <w:rsid w:val="00F82DCD"/>
    <w:rsid w:val="00FD784F"/>
    <w:rsid w:val="00FF643D"/>
    <w:rsid w:val="3ABF178B"/>
    <w:rsid w:val="5348F35F"/>
    <w:rsid w:val="5B474AC0"/>
    <w:rsid w:val="66FFFB86"/>
    <w:rsid w:val="6B901EE1"/>
    <w:rsid w:val="6DADD9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77C2"/>
  <w15:chartTrackingRefBased/>
  <w15:docId w15:val="{9A040593-29C6-4EDA-A86C-CCCECA42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622"/>
    <w:pPr>
      <w:ind w:left="720"/>
      <w:contextualSpacing/>
    </w:pPr>
  </w:style>
  <w:style w:type="paragraph" w:styleId="NormalWeb">
    <w:name w:val="Normal (Web)"/>
    <w:basedOn w:val="Normal"/>
    <w:uiPriority w:val="99"/>
    <w:semiHidden/>
    <w:unhideWhenUsed/>
    <w:rsid w:val="00166622"/>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semiHidden/>
    <w:unhideWhenUsed/>
    <w:rsid w:val="00166622"/>
    <w:rPr>
      <w:color w:val="0000FF"/>
      <w:u w:val="single"/>
    </w:rPr>
  </w:style>
  <w:style w:type="table" w:styleId="TableGrid">
    <w:name w:val="Table Grid"/>
    <w:basedOn w:val="TableNormal"/>
    <w:uiPriority w:val="39"/>
    <w:rsid w:val="00B6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20D"/>
    <w:rPr>
      <w:sz w:val="16"/>
      <w:szCs w:val="16"/>
    </w:rPr>
  </w:style>
  <w:style w:type="paragraph" w:styleId="CommentText">
    <w:name w:val="annotation text"/>
    <w:basedOn w:val="Normal"/>
    <w:link w:val="CommentTextChar"/>
    <w:uiPriority w:val="99"/>
    <w:unhideWhenUsed/>
    <w:rsid w:val="00B6420D"/>
    <w:pPr>
      <w:spacing w:line="240" w:lineRule="auto"/>
    </w:pPr>
    <w:rPr>
      <w:sz w:val="20"/>
      <w:szCs w:val="20"/>
    </w:rPr>
  </w:style>
  <w:style w:type="character" w:customStyle="1" w:styleId="CommentTextChar">
    <w:name w:val="Comment Text Char"/>
    <w:basedOn w:val="DefaultParagraphFont"/>
    <w:link w:val="CommentText"/>
    <w:uiPriority w:val="99"/>
    <w:rsid w:val="00B6420D"/>
    <w:rPr>
      <w:sz w:val="20"/>
      <w:szCs w:val="20"/>
    </w:rPr>
  </w:style>
  <w:style w:type="paragraph" w:styleId="CommentSubject">
    <w:name w:val="annotation subject"/>
    <w:basedOn w:val="CommentText"/>
    <w:next w:val="CommentText"/>
    <w:link w:val="CommentSubjectChar"/>
    <w:uiPriority w:val="99"/>
    <w:semiHidden/>
    <w:unhideWhenUsed/>
    <w:rsid w:val="00B6420D"/>
    <w:rPr>
      <w:b/>
      <w:bCs/>
    </w:rPr>
  </w:style>
  <w:style w:type="character" w:customStyle="1" w:styleId="CommentSubjectChar">
    <w:name w:val="Comment Subject Char"/>
    <w:basedOn w:val="CommentTextChar"/>
    <w:link w:val="CommentSubject"/>
    <w:uiPriority w:val="99"/>
    <w:semiHidden/>
    <w:rsid w:val="00B6420D"/>
    <w:rPr>
      <w:b/>
      <w:bCs/>
      <w:sz w:val="20"/>
      <w:szCs w:val="20"/>
    </w:rPr>
  </w:style>
  <w:style w:type="character" w:styleId="FollowedHyperlink">
    <w:name w:val="FollowedHyperlink"/>
    <w:basedOn w:val="DefaultParagraphFont"/>
    <w:uiPriority w:val="99"/>
    <w:semiHidden/>
    <w:unhideWhenUsed/>
    <w:rsid w:val="007E6977"/>
    <w:rPr>
      <w:color w:val="954F72" w:themeColor="followedHyperlink"/>
      <w:u w:val="single"/>
    </w:rPr>
  </w:style>
  <w:style w:type="paragraph" w:styleId="Revision">
    <w:name w:val="Revision"/>
    <w:hidden/>
    <w:uiPriority w:val="99"/>
    <w:semiHidden/>
    <w:rsid w:val="00C14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98732">
      <w:bodyDiv w:val="1"/>
      <w:marLeft w:val="0"/>
      <w:marRight w:val="0"/>
      <w:marTop w:val="0"/>
      <w:marBottom w:val="0"/>
      <w:divBdr>
        <w:top w:val="none" w:sz="0" w:space="0" w:color="auto"/>
        <w:left w:val="none" w:sz="0" w:space="0" w:color="auto"/>
        <w:bottom w:val="none" w:sz="0" w:space="0" w:color="auto"/>
        <w:right w:val="none" w:sz="0" w:space="0" w:color="auto"/>
      </w:divBdr>
    </w:div>
    <w:div w:id="1001011219">
      <w:bodyDiv w:val="1"/>
      <w:marLeft w:val="0"/>
      <w:marRight w:val="0"/>
      <w:marTop w:val="0"/>
      <w:marBottom w:val="0"/>
      <w:divBdr>
        <w:top w:val="none" w:sz="0" w:space="0" w:color="auto"/>
        <w:left w:val="none" w:sz="0" w:space="0" w:color="auto"/>
        <w:bottom w:val="none" w:sz="0" w:space="0" w:color="auto"/>
        <w:right w:val="none" w:sz="0" w:space="0" w:color="auto"/>
      </w:divBdr>
      <w:divsChild>
        <w:div w:id="1350719288">
          <w:marLeft w:val="0"/>
          <w:marRight w:val="0"/>
          <w:marTop w:val="0"/>
          <w:marBottom w:val="0"/>
          <w:divBdr>
            <w:top w:val="none" w:sz="0" w:space="0" w:color="auto"/>
            <w:left w:val="none" w:sz="0" w:space="0" w:color="auto"/>
            <w:bottom w:val="none" w:sz="0" w:space="0" w:color="auto"/>
            <w:right w:val="none" w:sz="0" w:space="0" w:color="auto"/>
          </w:divBdr>
        </w:div>
      </w:divsChild>
    </w:div>
    <w:div w:id="16673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7aa791-385c-4edc-9e35-cb7ebf4e7696">
      <UserInfo>
        <DisplayName>VALEIKIENĖ, Viktorija | Turto bankas</DisplayName>
        <AccountId>179</AccountId>
        <AccountType/>
      </UserInfo>
      <UserInfo>
        <DisplayName>GRIEŽĖ, Jolita | Turto bankas</DisplayName>
        <AccountId>12</AccountId>
        <AccountType/>
      </UserInfo>
    </SharedWithUsers>
    <lcf76f155ced4ddcb4097134ff3c332f xmlns="eeae1225-bb7c-4466-aeb7-0e12c56806a9">
      <Terms xmlns="http://schemas.microsoft.com/office/infopath/2007/PartnerControls"/>
    </lcf76f155ced4ddcb4097134ff3c332f>
    <TaxCatchAll xmlns="3e7aa791-385c-4edc-9e35-cb7ebf4e76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7EAC94A306F8447AADB8179CD996C28" ma:contentTypeVersion="18" ma:contentTypeDescription="Kurkite naują dokumentą." ma:contentTypeScope="" ma:versionID="665feba6cd3232762a967aaee31467ef">
  <xsd:schema xmlns:xsd="http://www.w3.org/2001/XMLSchema" xmlns:xs="http://www.w3.org/2001/XMLSchema" xmlns:p="http://schemas.microsoft.com/office/2006/metadata/properties" xmlns:ns2="eeae1225-bb7c-4466-aeb7-0e12c56806a9" xmlns:ns3="3e7aa791-385c-4edc-9e35-cb7ebf4e7696" targetNamespace="http://schemas.microsoft.com/office/2006/metadata/properties" ma:root="true" ma:fieldsID="26097ff57880b20e3d245ec5e171c377" ns2:_="" ns3:_="">
    <xsd:import namespace="eeae1225-bb7c-4466-aeb7-0e12c56806a9"/>
    <xsd:import namespace="3e7aa791-385c-4edc-9e35-cb7ebf4e76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e1225-bb7c-4466-aeb7-0e12c5680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aa791-385c-4edc-9e35-cb7ebf4e769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25e5870f-44b6-47a6-a234-ec2c60947cb7}" ma:internalName="TaxCatchAll" ma:showField="CatchAllData" ma:web="3e7aa791-385c-4edc-9e35-cb7ebf4e7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56CB6-967F-480E-9030-143DB9B29A70}">
  <ds:schemaRefs>
    <ds:schemaRef ds:uri="http://schemas.microsoft.com/office/2006/metadata/properties"/>
    <ds:schemaRef ds:uri="http://schemas.microsoft.com/office/infopath/2007/PartnerControls"/>
    <ds:schemaRef ds:uri="3e7aa791-385c-4edc-9e35-cb7ebf4e7696"/>
    <ds:schemaRef ds:uri="eeae1225-bb7c-4466-aeb7-0e12c56806a9"/>
  </ds:schemaRefs>
</ds:datastoreItem>
</file>

<file path=customXml/itemProps2.xml><?xml version="1.0" encoding="utf-8"?>
<ds:datastoreItem xmlns:ds="http://schemas.openxmlformats.org/officeDocument/2006/customXml" ds:itemID="{B3B8A001-B953-495A-A35B-029CF803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e1225-bb7c-4466-aeb7-0e12c56806a9"/>
    <ds:schemaRef ds:uri="3e7aa791-385c-4edc-9e35-cb7ebf4e7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898ED-7240-4274-A508-0BD0EBCC3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1876</Words>
  <Characters>1070</Characters>
  <Application>Microsoft Office Word</Application>
  <DocSecurity>0</DocSecurity>
  <Lines>8</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GRIEŽĖ, Jolita | Turto bankas</dc:creator>
  <cp:keywords/>
  <dc:description/>
  <cp:lastModifiedBy>GRIEŽĖ, Jolita | Turto bankas</cp:lastModifiedBy>
  <cp:revision>5</cp:revision>
  <dcterms:created xsi:type="dcterms:W3CDTF">2024-06-04T11:27:00Z</dcterms:created>
  <dcterms:modified xsi:type="dcterms:W3CDTF">2024-06-04T11:29:00Z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0x01010007EAC94A306F8447AADB8179CD996C28</vt:lpwstr>
  </property>
  <property fmtid="{D5CDD505-2E9C-101B-9397-08002B2CF9AE}" pid="3" name="MediaServiceImageTags">
    <vt:lpwstr/>
  </property>
</Properties>
</file>